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b/>
          <w:bCs/>
          <w:color w:val="333333"/>
          <w:sz w:val="20"/>
          <w:szCs w:val="20"/>
        </w:rPr>
        <w:t>QUỐC HỘI                                                   CỘNG HÒA XÃ HỘI CHỦ NGHĨA VIỆT NAM</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b/>
          <w:bCs/>
          <w:color w:val="333333"/>
          <w:sz w:val="20"/>
          <w:szCs w:val="20"/>
        </w:rPr>
        <w:t>                        --------                                                                  Độc lập - Tự do - Hạnh phúc</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Luật số: 106/2016/QH13                                                   </w:t>
      </w:r>
      <w:r w:rsidRPr="00635497">
        <w:rPr>
          <w:rFonts w:ascii="Arial" w:eastAsia="Times New Roman" w:hAnsi="Arial" w:cs="Arial"/>
          <w:i/>
          <w:iCs/>
          <w:color w:val="333333"/>
          <w:sz w:val="20"/>
          <w:szCs w:val="20"/>
        </w:rPr>
        <w:t>  Hà Nội, ngày 06 tháng 4 năm 2016</w:t>
      </w:r>
    </w:p>
    <w:p w:rsidR="00635497" w:rsidRPr="00635497" w:rsidRDefault="00635497" w:rsidP="00635497">
      <w:pPr>
        <w:shd w:val="clear" w:color="auto" w:fill="E6E7E8"/>
        <w:spacing w:after="150" w:line="240" w:lineRule="auto"/>
        <w:jc w:val="center"/>
        <w:rPr>
          <w:rFonts w:ascii="Arial" w:eastAsia="Times New Roman" w:hAnsi="Arial" w:cs="Arial"/>
          <w:color w:val="333333"/>
          <w:sz w:val="20"/>
          <w:szCs w:val="20"/>
        </w:rPr>
      </w:pPr>
      <w:r w:rsidRPr="00635497">
        <w:rPr>
          <w:rFonts w:ascii="Arial" w:eastAsia="Times New Roman" w:hAnsi="Arial" w:cs="Arial"/>
          <w:b/>
          <w:bCs/>
          <w:color w:val="333333"/>
          <w:sz w:val="20"/>
          <w:szCs w:val="20"/>
        </w:rPr>
        <w:t>LUẬT</w:t>
      </w:r>
    </w:p>
    <w:p w:rsidR="00635497" w:rsidRPr="00635497" w:rsidRDefault="00635497" w:rsidP="00635497">
      <w:pPr>
        <w:shd w:val="clear" w:color="auto" w:fill="E6E7E8"/>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SỬA ĐỔI, BỔ SUNG MỘT SỐ ĐIỀU CỦA LUẬT THUẾ GIÁ TRỊ GIA TĂNG, LUẬT THUẾ TIÊU THỤ ĐẶC BIỆT VÀ LUẬT QUẢN LÝ THUẾ</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i/>
          <w:iCs/>
          <w:color w:val="333333"/>
          <w:sz w:val="20"/>
          <w:szCs w:val="20"/>
        </w:rPr>
        <w:t>Căn cứ Hiến pháp nước Cộng hòa xã hội chủ nghĩa Việt Nam;</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i/>
          <w:iCs/>
          <w:color w:val="333333"/>
          <w:sz w:val="20"/>
          <w:szCs w:val="20"/>
        </w:rPr>
        <w:t>Quốc hội ban hành Luật sửa đổi, bổ sung một số điều của Luật thuế giá trị gia tăng số 13/2008/QH12 đã được sửa đổi, bổ sung một số điều theo Luật số 31/2013/QH13, Luật thuế tiêu thụ đặc biệt số 27/2008/QH12 đã được sửa đổi, bổ sung một số điều theo Luật số 70/2014/QH13, Luật quản lý thuế số 78/2006/QH11 đã được sửa đổi, bổ sung một số điều theo Luật số 21/2012/QH13 và Luật số 71/2014/QH13.</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b/>
          <w:bCs/>
          <w:color w:val="333333"/>
          <w:sz w:val="20"/>
          <w:szCs w:val="20"/>
        </w:rPr>
        <w:t>Điều 1</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Sửa đổi, bổ sung một số điều của Luật thuế giá trị gia tăng số 13/2008/QH12 đã được sửa đổi, bổ sung một số điều theo Luật số 31/2013/QH13:</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1. Các khoản 1, 9 và 23 Điều 5 được sửa đổi, bổ sung như sau:</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“1. Sản phẩm trồng trọt, chăn nuôi, thủy sản nuôi trồng, đánh bắt chưa chế biến thành các sản phẩm khác hoặc chỉ qua sơ chế thông thường của tổ chức, cá nhân tự sản xuất, đánh bắt bán ra và ở khâu nhập khẩu.</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Doanh nghiệp, hợp tác xã mua sản phẩm trồng trọt, chăn nuôi, thủy sản nuôi trồng, đánh bắt chưa chế biến thành các sản phẩm khác hoặc chỉ qua sơ chế thông thường bán cho doanh nghiệp, hợp tác xã khác thì không phải kê khai, tính nộp thuế giá trị gia tăng nhưng được khấu trừ thuế giá trị gia tăng đầu vào.”</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“9. Dịch vụ y tế, dịch vụ thú y, bao gồm dịch vụ khám bệnh, chữa bệnh, phòng bệnh cho người và vật nuôi; dịch vụ chăm sóc người cao tuổi, người khuyết tật.”</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“23. Sản phẩm xuất khẩu là tài nguyên, khoáng sản khai thác chưa chế biến thành sản phẩm khác; sản phẩm xuất khẩu là hàng hóa được chế biến từ tài nguyên, khoáng sản có tổng trị giá tài nguyên, khoáng sản cộng với chi phí năng lượng chiếm từ 51% giá thành sản phẩm trở lên.”</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2. Điểm g khoản 1 Điều 8 được sửa đổi, bổ sung như sau:</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“g) Sản phẩm xuất khẩu quy định tại khoản 23 Điều 5 của Luật này.</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Hàng hóa, dịch vụ xuất khẩu là hàng hóa, dịch vụ được tiêu dùng ở ngoài Việt Nam, trong khu phi thuế quan; hàng hóa, dịch vụ cung cấp cho khách hàng nước ngoài theo quy định của Chính phủ.”</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3. Khoản 1 và khoản 2 Điều 13 được sửa đổi, bổ sung như sau:</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“1. Cơ sở kinh doanh nộp thuế giá trị gia tăng theo phương pháp khấu trừ thuế nếu có số thuế giá trị gia tăng đầu vào chưa được khấu trừ hết trong tháng hoặc trong quý thì được khấu trừ vào kỳ tiếp theo.</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Trường hợp cơ sở kinh doanh đã đăng ký nộp thuế giá trị gia tăng theo phương pháp khấu trừ có dự án đầu tư mới, đang trong giai đoạn đầu tư có số thuế giá trị gia tăng của hàng hóa, dịch vụ mua vào sử dụng cho đầu tư mà chưa được khấu trừ và có số thuế còn lại từ ba trăm triệu đồng trở lên thì được hoàn thuế giá trị gia tăng.</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Cơ sở kinh doanh không được hoàn thuế giá trị gia tăng mà được kết chuyển số thuế chưa được khấu trừ của dự án đầu tư theo quy định của pháp luật về đầu tư sang kỳ tiếp theo đối với các trường hợp:</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lastRenderedPageBreak/>
        <w:t>a) Dự án đầu tư của cơ sở kinh doanh không góp đủ số vốn điều lệ như đã đăng ký; kinh doanh ngành, nghề đầu tư kinh doanh có điều kiện khi chưa đủ các điều kiện kinh doanh theo quy định của Luật đầu tư hoặc không bảo đảm duy trì đủ điều kiện kinh doanh trong quá trình hoạt động;</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b) Dự án đầu tư khai thác tài nguyên, khoáng sản được cấp phép từ ngày 01 tháng 7 năm 2016 hoặc dự án đầu tư sản xuất sản phẩm hàng hóa mà tổng trị giá tài nguyên, khoáng sản cộng với chi phí năng lượng chiếm từ 51% giá thành sản phẩm trở lên theo dự án đầu tư.</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Chính phủ quy định chi tiết khoản này.</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2. Cơ sở kinh doanh trong tháng, quý có hàng hóa, dịch vụ xuất khẩu nếu có số thuế giá trị gia tăng đầu vào chưa được khấu trừ từ ba trăm triệu đồng trở lên thì được hoàn thuế giá trị gia tăng theo tháng, quý, trừ trường hợp hàng hóa nhập khẩu để xuất khẩu, hàng hóa xuất khẩu không thực hiện việc xuất khẩu tại địa bàn hoạt động hải quan theo quy định của Luật hải quan. Thực hiện hoàn thuế trước, kiểm tra sau đối với người nộp thuế sản xuất hàng hóa xuất khẩu không vi phạm pháp luật về thuế, hải quan trong thời gian hai năm liên tục; người nộp thuế không thuộc đối tượng rủi ro cao theo quy định của Luật quản lý thuế.”</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b/>
          <w:bCs/>
          <w:color w:val="333333"/>
          <w:sz w:val="20"/>
          <w:szCs w:val="20"/>
        </w:rPr>
        <w:t>Điều 2</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Sửa đổi, bổ sung một số điều của Luật thuế tiêu thụ đặc biệt số 27/2008/QH12 đã được sửa đổi, bổ sung một số điều theo Luật số 70/2014/QH13:</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1. Khoản 1 và khoản 2 Điều 6 được sửa đổi, bổ sung như sau:</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“1. Đối với hàng hóa sản xuất trong nước, hàng hóa nhập khẩu là giá do cơ sở sản xuất, cơ sở nhập khẩu bán ra.</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Trường hợp hàng hóa chịu thuế tiêu thụ đặc biệt được bán cho cơ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giá tính thuế tiêu thụ đặc biệt không được thấp hơn tỷ lệ phần trăm (%) so với giá bình quân của các cơ sở kinh doanh thương mại mua trực tiếp của cơ sở sản xuất, cơ sở nhập khẩu bán ra theo quy định của Chính phủ;</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2. Đối với hàng hóa nhập khẩu tại khâu nhập khẩu là giá tính thuế nhập khẩu cộng với thuế nhập khẩu. Trường hợp hàng hóa nhập khẩu được miễn, giảm thuế nhập khẩu thì giá tính thuế không bao gồm số thuế nhập khẩu được miễn, giảm. Hàng hoá chịu thuế tiêu thụ đặc biệt nhập khẩu được khấu trừ số thuế tiêu thụ đặc biệt đã nộp ở khâu nhập khẩu khi xác định số thuế tiêu thụ đặc biệt phải nộp bán ra;”</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2. Khoản 4 Mục I Biểu thuế tiêu thụ đặc biệt quy định tại Điều 7 được sửa đổi, bổ sung như sau:</w:t>
      </w:r>
    </w:p>
    <w:tbl>
      <w:tblPr>
        <w:tblW w:w="9495" w:type="dxa"/>
        <w:tblBorders>
          <w:top w:val="outset" w:sz="6" w:space="0" w:color="auto"/>
          <w:left w:val="outset" w:sz="6" w:space="0" w:color="auto"/>
          <w:bottom w:val="outset" w:sz="6" w:space="0" w:color="auto"/>
          <w:right w:val="outset" w:sz="6" w:space="0" w:color="auto"/>
        </w:tblBorders>
        <w:shd w:val="clear" w:color="auto" w:fill="E6E7E8"/>
        <w:tblCellMar>
          <w:left w:w="0" w:type="dxa"/>
          <w:right w:w="0" w:type="dxa"/>
        </w:tblCellMar>
        <w:tblLook w:val="04A0" w:firstRow="1" w:lastRow="0" w:firstColumn="1" w:lastColumn="0" w:noHBand="0" w:noVBand="1"/>
      </w:tblPr>
      <w:tblGrid>
        <w:gridCol w:w="717"/>
        <w:gridCol w:w="6605"/>
        <w:gridCol w:w="2173"/>
      </w:tblGrid>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b/>
                <w:bCs/>
                <w:color w:val="333333"/>
                <w:sz w:val="20"/>
                <w:szCs w:val="20"/>
              </w:rPr>
              <w:t>STT</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b/>
                <w:bCs/>
                <w:color w:val="333333"/>
                <w:sz w:val="20"/>
                <w:szCs w:val="20"/>
              </w:rPr>
              <w:t>Hàng hóa, dịch vụ</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b/>
                <w:bCs/>
                <w:color w:val="333333"/>
                <w:sz w:val="20"/>
                <w:szCs w:val="20"/>
              </w:rPr>
              <w:t>Thuế suất (%)</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4</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Xe ô tô dưới 24 chỗ</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a) Xe ô tô chở người từ 9 chỗ trở xuống, trừ loại quy định tại các điểm 4đ, 4e và 4g của Biểu thuế quy định tại Điều này</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từ 1.500 cm</w:t>
            </w:r>
            <w:r w:rsidRPr="00635497">
              <w:rPr>
                <w:rFonts w:ascii="Arial" w:eastAsia="Times New Roman" w:hAnsi="Arial" w:cs="Arial"/>
                <w:color w:val="333333"/>
                <w:sz w:val="15"/>
                <w:szCs w:val="15"/>
                <w:vertAlign w:val="superscript"/>
              </w:rPr>
              <w:t>3</w:t>
            </w:r>
            <w:r w:rsidRPr="00635497">
              <w:rPr>
                <w:rFonts w:ascii="Arial" w:eastAsia="Times New Roman" w:hAnsi="Arial" w:cs="Arial"/>
                <w:color w:val="333333"/>
                <w:sz w:val="20"/>
                <w:szCs w:val="20"/>
              </w:rPr>
              <w:t> trở xuống</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r>
      <w:tr w:rsidR="00635497" w:rsidRPr="00635497" w:rsidTr="00635497">
        <w:tc>
          <w:tcPr>
            <w:tcW w:w="720" w:type="dxa"/>
            <w:vMerge w:val="restart"/>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Từ ngày 01 tháng 7 năm 2016 đến hết ngày 31 tháng 12 năm 2017</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40</w:t>
            </w:r>
          </w:p>
        </w:tc>
      </w:tr>
      <w:tr w:rsidR="00635497" w:rsidRPr="00635497" w:rsidTr="00635497">
        <w:tc>
          <w:tcPr>
            <w:tcW w:w="0" w:type="auto"/>
            <w:vMerge/>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0" w:line="240" w:lineRule="auto"/>
              <w:rPr>
                <w:rFonts w:ascii="Arial" w:eastAsia="Times New Roman" w:hAnsi="Arial" w:cs="Arial"/>
                <w:color w:val="333333"/>
                <w:sz w:val="20"/>
                <w:szCs w:val="20"/>
              </w:rPr>
            </w:pP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Từ ngày 01 tháng 01 năm 2018</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35</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trên 1.500 cm</w:t>
            </w:r>
            <w:r w:rsidRPr="00635497">
              <w:rPr>
                <w:rFonts w:ascii="Arial" w:eastAsia="Times New Roman" w:hAnsi="Arial" w:cs="Arial"/>
                <w:color w:val="333333"/>
                <w:sz w:val="15"/>
                <w:szCs w:val="15"/>
                <w:vertAlign w:val="superscript"/>
              </w:rPr>
              <w:t>3</w:t>
            </w:r>
            <w:r w:rsidRPr="00635497">
              <w:rPr>
                <w:rFonts w:ascii="Arial" w:eastAsia="Times New Roman" w:hAnsi="Arial" w:cs="Arial"/>
                <w:color w:val="333333"/>
                <w:sz w:val="20"/>
                <w:szCs w:val="20"/>
              </w:rPr>
              <w:t> đến 2.000 cm</w:t>
            </w:r>
            <w:r w:rsidRPr="00635497">
              <w:rPr>
                <w:rFonts w:ascii="Arial" w:eastAsia="Times New Roman" w:hAnsi="Arial" w:cs="Arial"/>
                <w:color w:val="333333"/>
                <w:sz w:val="15"/>
                <w:szCs w:val="15"/>
                <w:vertAlign w:val="superscript"/>
              </w:rPr>
              <w:t>3</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Từ ngày 01 tháng 7 năm 2016 đến hết ngày 31 tháng 12 năm 2017</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45</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Từ ngày 01 tháng 01 năm 2018</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40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trên 2.000 cm</w:t>
            </w:r>
            <w:r w:rsidRPr="00635497">
              <w:rPr>
                <w:rFonts w:ascii="Arial" w:eastAsia="Times New Roman" w:hAnsi="Arial" w:cs="Arial"/>
                <w:color w:val="333333"/>
                <w:sz w:val="15"/>
                <w:szCs w:val="15"/>
                <w:vertAlign w:val="superscript"/>
              </w:rPr>
              <w:t>3</w:t>
            </w:r>
            <w:r w:rsidRPr="00635497">
              <w:rPr>
                <w:rFonts w:ascii="Arial" w:eastAsia="Times New Roman" w:hAnsi="Arial" w:cs="Arial"/>
                <w:color w:val="333333"/>
                <w:sz w:val="20"/>
                <w:szCs w:val="20"/>
              </w:rPr>
              <w:t> đến 2.500 cm</w:t>
            </w:r>
            <w:r w:rsidRPr="00635497">
              <w:rPr>
                <w:rFonts w:ascii="Arial" w:eastAsia="Times New Roman" w:hAnsi="Arial" w:cs="Arial"/>
                <w:color w:val="333333"/>
                <w:sz w:val="15"/>
                <w:szCs w:val="15"/>
                <w:vertAlign w:val="superscript"/>
              </w:rPr>
              <w:t>3</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50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trên 2.500 cm</w:t>
            </w:r>
            <w:r w:rsidRPr="00635497">
              <w:rPr>
                <w:rFonts w:ascii="Arial" w:eastAsia="Times New Roman" w:hAnsi="Arial" w:cs="Arial"/>
                <w:color w:val="333333"/>
                <w:sz w:val="15"/>
                <w:szCs w:val="15"/>
                <w:vertAlign w:val="superscript"/>
              </w:rPr>
              <w:t>3</w:t>
            </w:r>
            <w:r w:rsidRPr="00635497">
              <w:rPr>
                <w:rFonts w:ascii="Arial" w:eastAsia="Times New Roman" w:hAnsi="Arial" w:cs="Arial"/>
                <w:color w:val="333333"/>
                <w:sz w:val="20"/>
                <w:szCs w:val="20"/>
              </w:rPr>
              <w:t> đến 3.000 cm</w:t>
            </w:r>
            <w:r w:rsidRPr="00635497">
              <w:rPr>
                <w:rFonts w:ascii="Arial" w:eastAsia="Times New Roman" w:hAnsi="Arial" w:cs="Arial"/>
                <w:color w:val="333333"/>
                <w:sz w:val="15"/>
                <w:szCs w:val="15"/>
                <w:vertAlign w:val="superscript"/>
              </w:rPr>
              <w:t>3</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lastRenderedPageBreak/>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Từ ngày 01 tháng 07 năm 2016 đến hết ngày 31 tháng 12 năm 2017</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55</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Từ ngày 01 tháng 01 năm 2018</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60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trên 3.000 cm</w:t>
            </w:r>
            <w:r w:rsidRPr="00635497">
              <w:rPr>
                <w:rFonts w:ascii="Arial" w:eastAsia="Times New Roman" w:hAnsi="Arial" w:cs="Arial"/>
                <w:color w:val="333333"/>
                <w:sz w:val="15"/>
                <w:szCs w:val="15"/>
                <w:vertAlign w:val="superscript"/>
              </w:rPr>
              <w:t>3</w:t>
            </w:r>
            <w:r w:rsidRPr="00635497">
              <w:rPr>
                <w:rFonts w:ascii="Arial" w:eastAsia="Times New Roman" w:hAnsi="Arial" w:cs="Arial"/>
                <w:color w:val="333333"/>
                <w:sz w:val="20"/>
                <w:szCs w:val="20"/>
              </w:rPr>
              <w:t> đến 4.000 cm</w:t>
            </w:r>
            <w:r w:rsidRPr="00635497">
              <w:rPr>
                <w:rFonts w:ascii="Arial" w:eastAsia="Times New Roman" w:hAnsi="Arial" w:cs="Arial"/>
                <w:color w:val="333333"/>
                <w:sz w:val="15"/>
                <w:szCs w:val="15"/>
                <w:vertAlign w:val="superscript"/>
              </w:rPr>
              <w:t>3</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90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trên 4.000 cm</w:t>
            </w:r>
            <w:r w:rsidRPr="00635497">
              <w:rPr>
                <w:rFonts w:ascii="Arial" w:eastAsia="Times New Roman" w:hAnsi="Arial" w:cs="Arial"/>
                <w:color w:val="333333"/>
                <w:sz w:val="15"/>
                <w:szCs w:val="15"/>
                <w:vertAlign w:val="superscript"/>
              </w:rPr>
              <w:t>3</w:t>
            </w:r>
            <w:r w:rsidRPr="00635497">
              <w:rPr>
                <w:rFonts w:ascii="Arial" w:eastAsia="Times New Roman" w:hAnsi="Arial" w:cs="Arial"/>
                <w:color w:val="333333"/>
                <w:sz w:val="20"/>
                <w:szCs w:val="20"/>
              </w:rPr>
              <w:t> đến 5.000 cm</w:t>
            </w:r>
            <w:r w:rsidRPr="00635497">
              <w:rPr>
                <w:rFonts w:ascii="Arial" w:eastAsia="Times New Roman" w:hAnsi="Arial" w:cs="Arial"/>
                <w:color w:val="333333"/>
                <w:sz w:val="15"/>
                <w:szCs w:val="15"/>
                <w:vertAlign w:val="superscript"/>
              </w:rPr>
              <w:t>3</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110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trên 5.000 cm</w:t>
            </w:r>
            <w:r w:rsidRPr="00635497">
              <w:rPr>
                <w:rFonts w:ascii="Arial" w:eastAsia="Times New Roman" w:hAnsi="Arial" w:cs="Arial"/>
                <w:color w:val="333333"/>
                <w:sz w:val="15"/>
                <w:szCs w:val="15"/>
                <w:vertAlign w:val="superscript"/>
              </w:rPr>
              <w:t>3</w:t>
            </w:r>
            <w:r w:rsidRPr="00635497">
              <w:rPr>
                <w:rFonts w:ascii="Arial" w:eastAsia="Times New Roman" w:hAnsi="Arial" w:cs="Arial"/>
                <w:color w:val="333333"/>
                <w:sz w:val="20"/>
                <w:szCs w:val="20"/>
              </w:rPr>
              <w:t> đến 6.000 cm</w:t>
            </w:r>
            <w:r w:rsidRPr="00635497">
              <w:rPr>
                <w:rFonts w:ascii="Arial" w:eastAsia="Times New Roman" w:hAnsi="Arial" w:cs="Arial"/>
                <w:color w:val="333333"/>
                <w:sz w:val="15"/>
                <w:szCs w:val="15"/>
                <w:vertAlign w:val="superscript"/>
              </w:rPr>
              <w:t>3</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130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trên 6.000 cm</w:t>
            </w:r>
            <w:r w:rsidRPr="00635497">
              <w:rPr>
                <w:rFonts w:ascii="Arial" w:eastAsia="Times New Roman" w:hAnsi="Arial" w:cs="Arial"/>
                <w:color w:val="333333"/>
                <w:sz w:val="15"/>
                <w:szCs w:val="15"/>
                <w:vertAlign w:val="superscript"/>
              </w:rPr>
              <w:t>3</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150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b) Xe ô tô chở người từ 10 đến dưới 16 chỗ, trừ loại quy định tại các điểm 4đ, 4e và 4g của Biểu thuế quy định tại Điều này</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15</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c) Xe ô tô chở người từ 16 đến dưới 24 chỗ, trừ loại quy định tại các điểm 4đ, 4e và 4g của Biểu thuế quy định tại Điều này</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10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d) Xe ô tô vừa chở người, vừa chở hàng, trừ loại quy định tại các điểm 4đ, 4e và 4g của Biểu thuế quy định tại Điều này</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từ 2.500 cm</w:t>
            </w:r>
            <w:r w:rsidRPr="00635497">
              <w:rPr>
                <w:rFonts w:ascii="Arial" w:eastAsia="Times New Roman" w:hAnsi="Arial" w:cs="Arial"/>
                <w:color w:val="333333"/>
                <w:sz w:val="15"/>
                <w:szCs w:val="15"/>
                <w:vertAlign w:val="superscript"/>
              </w:rPr>
              <w:t>3</w:t>
            </w:r>
            <w:r w:rsidRPr="00635497">
              <w:rPr>
                <w:rFonts w:ascii="Arial" w:eastAsia="Times New Roman" w:hAnsi="Arial" w:cs="Arial"/>
                <w:color w:val="333333"/>
                <w:sz w:val="20"/>
                <w:szCs w:val="20"/>
              </w:rPr>
              <w:t> trở xuống</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15</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trên 2.500 cm</w:t>
            </w:r>
            <w:r w:rsidRPr="00635497">
              <w:rPr>
                <w:rFonts w:ascii="Arial" w:eastAsia="Times New Roman" w:hAnsi="Arial" w:cs="Arial"/>
                <w:color w:val="333333"/>
                <w:sz w:val="15"/>
                <w:szCs w:val="15"/>
                <w:vertAlign w:val="superscript"/>
              </w:rPr>
              <w:t>3</w:t>
            </w:r>
            <w:r w:rsidRPr="00635497">
              <w:rPr>
                <w:rFonts w:ascii="Arial" w:eastAsia="Times New Roman" w:hAnsi="Arial" w:cs="Arial"/>
                <w:color w:val="333333"/>
                <w:sz w:val="20"/>
                <w:szCs w:val="20"/>
              </w:rPr>
              <w:t> đến 3.000 cm</w:t>
            </w:r>
            <w:r w:rsidRPr="00635497">
              <w:rPr>
                <w:rFonts w:ascii="Arial" w:eastAsia="Times New Roman" w:hAnsi="Arial" w:cs="Arial"/>
                <w:color w:val="333333"/>
                <w:sz w:val="15"/>
                <w:szCs w:val="15"/>
                <w:vertAlign w:val="superscript"/>
              </w:rPr>
              <w:t>3</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20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có dung tích xi lanh trên 3.000 cm</w:t>
            </w:r>
            <w:r w:rsidRPr="00635497">
              <w:rPr>
                <w:rFonts w:ascii="Arial" w:eastAsia="Times New Roman" w:hAnsi="Arial" w:cs="Arial"/>
                <w:color w:val="333333"/>
                <w:sz w:val="15"/>
                <w:szCs w:val="15"/>
                <w:vertAlign w:val="superscript"/>
              </w:rPr>
              <w:t>3</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25</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đ) Xe ô tô chạy bằng xăng kết hợp năng lượng điện, năng lượng sinh học, trong đó tỷ trọng xăng sử dụng không quá 70% số năng lượng sử dụng</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Bằng 70% mức thuế suất áp dụng cho xe cùng loại quy định tại các điểm 4a, 4b, 4c và 4d của Biểu thuế quy định tại Điều này</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e) Xe ô tô chạy bằng năng lượng sinh học</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Bằng 50% mức thuế suất áp dụng cho xe cùng loại quy định tại các điểm 4a, 4b, 4c và 4d của Biểu thuế quy định tại Điều này</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g) Xe ô tô chạy bằng điện</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chở người từ 9 chỗ trở xuống</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15</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chở người từ 10 đến dưới 16 chỗ</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10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chở người từ 16 đến dưới 24 chỗ</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5</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Loại thiết kế vừa chở người, vừa chở hàng</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10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h) Xe mô-tô-hôm (motorhome) không phân biệt dung tích xi lanh</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Từ ngày 01 tháng 7 năm 2016 đến hết ngày 31 tháng 12 năm 2017</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70</w:t>
            </w:r>
          </w:p>
        </w:tc>
      </w:tr>
      <w:tr w:rsidR="00635497" w:rsidRPr="00635497" w:rsidTr="00635497">
        <w:tc>
          <w:tcPr>
            <w:tcW w:w="72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tc>
        <w:tc>
          <w:tcPr>
            <w:tcW w:w="666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Từ ngày 01 tháng 01 năm 2018</w:t>
            </w:r>
          </w:p>
        </w:tc>
        <w:tc>
          <w:tcPr>
            <w:tcW w:w="2190" w:type="dxa"/>
            <w:tcBorders>
              <w:top w:val="outset" w:sz="6" w:space="0" w:color="auto"/>
              <w:left w:val="outset" w:sz="6" w:space="0" w:color="auto"/>
              <w:bottom w:val="outset" w:sz="6" w:space="0" w:color="auto"/>
              <w:right w:val="outset" w:sz="6" w:space="0" w:color="auto"/>
            </w:tcBorders>
            <w:shd w:val="clear" w:color="auto" w:fill="E6E7E8"/>
            <w:vAlign w:val="center"/>
            <w:hideMark/>
          </w:tcPr>
          <w:p w:rsidR="00635497" w:rsidRPr="00635497" w:rsidRDefault="00635497" w:rsidP="00635497">
            <w:pPr>
              <w:spacing w:after="150" w:line="240" w:lineRule="auto"/>
              <w:jc w:val="center"/>
              <w:rPr>
                <w:rFonts w:ascii="Arial" w:eastAsia="Times New Roman" w:hAnsi="Arial" w:cs="Arial"/>
                <w:color w:val="333333"/>
                <w:sz w:val="20"/>
                <w:szCs w:val="20"/>
              </w:rPr>
            </w:pPr>
            <w:r w:rsidRPr="00635497">
              <w:rPr>
                <w:rFonts w:ascii="Arial" w:eastAsia="Times New Roman" w:hAnsi="Arial" w:cs="Arial"/>
                <w:color w:val="333333"/>
                <w:sz w:val="20"/>
                <w:szCs w:val="20"/>
              </w:rPr>
              <w:t>75</w:t>
            </w:r>
          </w:p>
        </w:tc>
      </w:tr>
    </w:tbl>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b/>
          <w:bCs/>
          <w:color w:val="333333"/>
          <w:sz w:val="20"/>
          <w:szCs w:val="20"/>
        </w:rPr>
        <w:t>Điều 3</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Sửa đổi, bổ sung một số điều của Luật quản lý thuế số 78/2006/QH11 đã được sửa đổi, bổ sung một số điều theo Luật số 21/2012/QH13 và Luật số 71/2014/QH13:</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1. Điều 61 được sửa đổi, bổ sung như sau:</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w:t>
      </w:r>
      <w:r w:rsidRPr="00635497">
        <w:rPr>
          <w:rFonts w:ascii="Arial" w:eastAsia="Times New Roman" w:hAnsi="Arial" w:cs="Arial"/>
          <w:b/>
          <w:bCs/>
          <w:color w:val="333333"/>
          <w:sz w:val="20"/>
          <w:szCs w:val="20"/>
        </w:rPr>
        <w:t>Điều 61. Miễn thuế, giảm thuế</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lastRenderedPageBreak/>
        <w:t>Cơ quan quản lý thuế thực hiện miễn thuế, giảm thuế đối với các trường hợp thuộc diện miễn thuế, giảm thuế được quy định tại các văn bản pháp luật về thuế và miễn thuế đối với hộ gia đình, cá nhân có số thuế sử dụng đất phi nông nghiệp phải nộp hằng năm từ năm mươi nghìn đồng trở xuống.”</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2. Khoản 4 Điều 92 được sửa đổi, bổ sung như sau:</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“4. Chưa thực hiện biện pháp cưỡng chế thuế đối với trường hợp người nộp thuế được cơ quan quản lý thuế cho phép nộp dần tiền nợ thuế trong thời hạn không quá mười hai tháng, kể từ ngày bắt đầu của thời hạn cưỡng chế thuế. Việc nộp dần tiền nợ thuế được xem xét trên cơ sở đề nghị của người nộp thuế và phải có bảo lãnh của tổ chức tín dụng. Người nộp thuế phải nộp tiền chậm nộp theo mức 0,03%/ngày tính trên số tiền thuế chậm nộp.”</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3. Khoản 1 Điều 106 được sửa đổi, bổ sung như sau:</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“1. 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bằng 0,03%/ngày tính trên số tiền thuế chậm nộp</w:t>
      </w:r>
      <w:r w:rsidRPr="00635497">
        <w:rPr>
          <w:rFonts w:ascii="Arial" w:eastAsia="Times New Roman" w:hAnsi="Arial" w:cs="Arial"/>
          <w:i/>
          <w:iCs/>
          <w:color w:val="333333"/>
          <w:sz w:val="20"/>
          <w:szCs w:val="20"/>
        </w:rPr>
        <w:t>.</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Đối với các khoản nợ tiền thuế phát sinh trước ngày 01 tháng 7 năm 2016 mà người nộp thuế chưa nộp vào ngân sách nhà nước, kể cả khoản tiền nợ thuế được truy thu qua kết quả thanh tra, kiểm tra của cơ quan có thẩm quyền thì được chuyển sang áp dụng mức tính tiền chậm nộp theo quy định tại khoản này từ ngày 01 tháng 7 năm 2016.</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Trường hợp người nộp thuế cung ứng hàng hoá, dịch vụ được thanh toán bằng nguồn vốn ngân sách nhà nước nhưng chưa được thanh toán nên không nộp kịp thời các khoản thuế dẫn đến nợ thuế thì không phải nộp tiền chậm nộp tính trên số tiền thuế còn nợ nhưng không vượt quá số tiền ngân sách nhà nước chưa thanh toán phát sinh trong thời gian ngân sách nhà nước chưa thanh toán.”</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4. Bãi bỏ khoản 3 Điều 42.</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b/>
          <w:bCs/>
          <w:color w:val="333333"/>
          <w:sz w:val="20"/>
          <w:szCs w:val="20"/>
        </w:rPr>
        <w:t>Điều 4</w:t>
      </w:r>
      <w:bookmarkStart w:id="0" w:name="_GoBack"/>
      <w:bookmarkEnd w:id="0"/>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1. Luật này có hiệu lực thi hành từ ngày 01 tháng 7 năm 2016, trừ quy định tại khoản 2 Điều này.</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2. Khoản 4 Điều 3 của Luật này có hiệu lực thi hành từ ngày 01 tháng 9 năm 2016.</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3. Chính phủ quy định chi tiết các điều, khoản được giao trong Luật.</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i/>
          <w:iCs/>
          <w:color w:val="333333"/>
          <w:sz w:val="20"/>
          <w:szCs w:val="20"/>
        </w:rPr>
        <w:t>Luật này đã được Quốc hội nước Cộng hòa xã hội chủ nghĩa Việt Nam khoá XIII, kỳ họp thứ 11 thông qua ngày 06 tháng 4 năm 2016.</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r w:rsidRPr="00635497">
        <w:rPr>
          <w:rFonts w:ascii="Arial" w:eastAsia="Times New Roman" w:hAnsi="Arial" w:cs="Arial"/>
          <w:b/>
          <w:bCs/>
          <w:color w:val="333333"/>
          <w:sz w:val="20"/>
          <w:szCs w:val="20"/>
        </w:rPr>
        <w:t>CHỦ TỊCH QUỐC HỘI</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color w:val="333333"/>
          <w:sz w:val="20"/>
          <w:szCs w:val="20"/>
        </w:rPr>
        <w:t> </w:t>
      </w:r>
    </w:p>
    <w:p w:rsidR="00635497" w:rsidRPr="00635497" w:rsidRDefault="00635497" w:rsidP="00635497">
      <w:pPr>
        <w:shd w:val="clear" w:color="auto" w:fill="E6E7E8"/>
        <w:spacing w:after="150" w:line="240" w:lineRule="auto"/>
        <w:rPr>
          <w:rFonts w:ascii="Arial" w:eastAsia="Times New Roman" w:hAnsi="Arial" w:cs="Arial"/>
          <w:color w:val="333333"/>
          <w:sz w:val="20"/>
          <w:szCs w:val="20"/>
        </w:rPr>
      </w:pPr>
      <w:r w:rsidRPr="00635497">
        <w:rPr>
          <w:rFonts w:ascii="Arial" w:eastAsia="Times New Roman" w:hAnsi="Arial" w:cs="Arial"/>
          <w:b/>
          <w:bCs/>
          <w:color w:val="333333"/>
          <w:sz w:val="20"/>
          <w:szCs w:val="20"/>
        </w:rPr>
        <w:t>                                                                                                                  Nguyễn Thị Kim Ngân</w:t>
      </w:r>
    </w:p>
    <w:p w:rsidR="00814284" w:rsidRDefault="00814284"/>
    <w:sectPr w:rsidR="00814284"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A0"/>
    <w:rsid w:val="00635497"/>
    <w:rsid w:val="00814284"/>
    <w:rsid w:val="00B844AC"/>
    <w:rsid w:val="00D9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20F57-6424-42D8-845B-169CA40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4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35497"/>
    <w:rPr>
      <w:b/>
      <w:bCs/>
    </w:rPr>
  </w:style>
  <w:style w:type="character" w:styleId="Emphasis">
    <w:name w:val="Emphasis"/>
    <w:basedOn w:val="DefaultParagraphFont"/>
    <w:uiPriority w:val="20"/>
    <w:qFormat/>
    <w:rsid w:val="00635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2021-06-06T02:44:00Z</dcterms:created>
  <dcterms:modified xsi:type="dcterms:W3CDTF">2021-06-06T02:44:00Z</dcterms:modified>
</cp:coreProperties>
</file>