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CellSpacing w:w="0" w:type="dxa"/>
        <w:tblInd w:w="-176" w:type="dxa"/>
        <w:shd w:val="clear" w:color="auto" w:fill="FFFFFF"/>
        <w:tblCellMar>
          <w:left w:w="0" w:type="dxa"/>
          <w:right w:w="0" w:type="dxa"/>
        </w:tblCellMar>
        <w:tblLook w:val="04A0"/>
      </w:tblPr>
      <w:tblGrid>
        <w:gridCol w:w="3970"/>
        <w:gridCol w:w="6237"/>
      </w:tblGrid>
      <w:tr w:rsidR="00FD5E9B" w:rsidRPr="00FD5E9B" w:rsidTr="002E6CF2">
        <w:trPr>
          <w:tblCellSpacing w:w="0" w:type="dxa"/>
        </w:trPr>
        <w:tc>
          <w:tcPr>
            <w:tcW w:w="3970" w:type="dxa"/>
            <w:shd w:val="clear" w:color="auto" w:fill="FFFFFF"/>
            <w:tcMar>
              <w:top w:w="0" w:type="dxa"/>
              <w:left w:w="108" w:type="dxa"/>
              <w:bottom w:w="0" w:type="dxa"/>
              <w:right w:w="108" w:type="dxa"/>
            </w:tcMar>
            <w:hideMark/>
          </w:tcPr>
          <w:p w:rsidR="00FD5E9B" w:rsidRPr="00FD5E9B" w:rsidRDefault="00FD5E9B" w:rsidP="00FD5E9B">
            <w:pPr>
              <w:spacing w:after="120"/>
              <w:jc w:val="center"/>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BỘ GIÁO DỤC VÀ ĐÀO TẠO</w:t>
            </w:r>
            <w:r w:rsidRPr="00FD5E9B">
              <w:rPr>
                <w:rFonts w:ascii="Times New Roman" w:eastAsia="Times New Roman" w:hAnsi="Times New Roman" w:cs="Times New Roman"/>
                <w:b/>
                <w:bCs/>
                <w:color w:val="000000"/>
                <w:sz w:val="28"/>
                <w:szCs w:val="28"/>
              </w:rPr>
              <w:br/>
              <w:t>--------</w:t>
            </w:r>
          </w:p>
        </w:tc>
        <w:tc>
          <w:tcPr>
            <w:tcW w:w="6237" w:type="dxa"/>
            <w:shd w:val="clear" w:color="auto" w:fill="FFFFFF"/>
            <w:tcMar>
              <w:top w:w="0" w:type="dxa"/>
              <w:left w:w="108" w:type="dxa"/>
              <w:bottom w:w="0" w:type="dxa"/>
              <w:right w:w="108" w:type="dxa"/>
            </w:tcMar>
            <w:hideMark/>
          </w:tcPr>
          <w:p w:rsidR="00FD5E9B" w:rsidRPr="00FD5E9B" w:rsidRDefault="00FD5E9B" w:rsidP="00FD5E9B">
            <w:pPr>
              <w:spacing w:after="120"/>
              <w:jc w:val="center"/>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lang w:val="en-GB"/>
              </w:rPr>
              <w:t>CỘNG HÒA XÃ HỘI CHỦ NGHĨA VIỆT NAM</w:t>
            </w:r>
            <w:r w:rsidRPr="00FD5E9B">
              <w:rPr>
                <w:rFonts w:ascii="Times New Roman" w:eastAsia="Times New Roman" w:hAnsi="Times New Roman" w:cs="Times New Roman"/>
                <w:b/>
                <w:bCs/>
                <w:color w:val="000000"/>
                <w:sz w:val="28"/>
                <w:szCs w:val="28"/>
                <w:lang w:val="en-GB"/>
              </w:rPr>
              <w:br/>
              <w:t>Độc lập - Tự do - Hạnh phúc</w:t>
            </w:r>
            <w:r w:rsidRPr="00FD5E9B">
              <w:rPr>
                <w:rFonts w:ascii="Times New Roman" w:eastAsia="Times New Roman" w:hAnsi="Times New Roman" w:cs="Times New Roman"/>
                <w:b/>
                <w:bCs/>
                <w:color w:val="000000"/>
                <w:sz w:val="28"/>
                <w:szCs w:val="28"/>
                <w:lang w:val="en-GB"/>
              </w:rPr>
              <w:br/>
              <w:t>----------------</w:t>
            </w:r>
          </w:p>
        </w:tc>
      </w:tr>
      <w:tr w:rsidR="00FD5E9B" w:rsidRPr="00FD5E9B" w:rsidTr="002E6CF2">
        <w:trPr>
          <w:tblCellSpacing w:w="0" w:type="dxa"/>
        </w:trPr>
        <w:tc>
          <w:tcPr>
            <w:tcW w:w="3970" w:type="dxa"/>
            <w:shd w:val="clear" w:color="auto" w:fill="FFFFFF"/>
            <w:tcMar>
              <w:top w:w="0" w:type="dxa"/>
              <w:left w:w="108" w:type="dxa"/>
              <w:bottom w:w="0" w:type="dxa"/>
              <w:right w:w="108" w:type="dxa"/>
            </w:tcMar>
            <w:hideMark/>
          </w:tcPr>
          <w:p w:rsidR="00FD5E9B" w:rsidRPr="00FD5E9B" w:rsidRDefault="00FD5E9B" w:rsidP="00FD5E9B">
            <w:pPr>
              <w:spacing w:after="120"/>
              <w:jc w:val="center"/>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Số: 05/2012/TT-BGDĐT</w:t>
            </w:r>
          </w:p>
        </w:tc>
        <w:tc>
          <w:tcPr>
            <w:tcW w:w="6237" w:type="dxa"/>
            <w:shd w:val="clear" w:color="auto" w:fill="FFFFFF"/>
            <w:tcMar>
              <w:top w:w="0" w:type="dxa"/>
              <w:left w:w="108" w:type="dxa"/>
              <w:bottom w:w="0" w:type="dxa"/>
              <w:right w:w="108" w:type="dxa"/>
            </w:tcMar>
            <w:hideMark/>
          </w:tcPr>
          <w:p w:rsidR="00FD5E9B" w:rsidRPr="00FD5E9B" w:rsidRDefault="00FD5E9B" w:rsidP="00FD5E9B">
            <w:pPr>
              <w:spacing w:after="120"/>
              <w:jc w:val="right"/>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Hà Nội, ngày 15 tháng 02 năm 2012</w:t>
            </w:r>
          </w:p>
        </w:tc>
      </w:tr>
    </w:tbl>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 </w:t>
      </w:r>
    </w:p>
    <w:p w:rsidR="00FD5E9B" w:rsidRPr="00FD5E9B" w:rsidRDefault="00FD5E9B" w:rsidP="00FD5E9B">
      <w:pPr>
        <w:shd w:val="clear" w:color="auto" w:fill="FFFFFF"/>
        <w:spacing w:after="120"/>
        <w:ind w:right="-28"/>
        <w:jc w:val="center"/>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THÔNG TƯ</w:t>
      </w:r>
    </w:p>
    <w:p w:rsidR="00FD5E9B" w:rsidRPr="00FD5E9B" w:rsidRDefault="00FD5E9B" w:rsidP="00FD5E9B">
      <w:pPr>
        <w:shd w:val="clear" w:color="auto" w:fill="FFFFFF"/>
        <w:spacing w:after="0"/>
        <w:ind w:right="-28"/>
        <w:jc w:val="center"/>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VỀ VIỆC SỬA ĐỔI, BỔ SUNG MỘT SỐ ĐIỀU CỦA QUY CHẾ ĐÀO TẠO TRÌNH ĐỘ TIẾN SĨ BAN HÀNH KÈM THEO THÔNG TƯ SỐ </w:t>
      </w:r>
      <w:hyperlink r:id="rId6" w:tgtFrame="_blank" w:history="1">
        <w:r w:rsidRPr="002E6CF2">
          <w:rPr>
            <w:rFonts w:ascii="Times New Roman" w:eastAsia="Times New Roman" w:hAnsi="Times New Roman" w:cs="Times New Roman"/>
            <w:color w:val="0E70C3"/>
            <w:sz w:val="28"/>
            <w:szCs w:val="28"/>
          </w:rPr>
          <w:t>10/2009/TT-BGDĐT</w:t>
        </w:r>
      </w:hyperlink>
      <w:r w:rsidRPr="00FD5E9B">
        <w:rPr>
          <w:rFonts w:ascii="Times New Roman" w:eastAsia="Times New Roman" w:hAnsi="Times New Roman" w:cs="Times New Roman"/>
          <w:color w:val="000000"/>
          <w:sz w:val="28"/>
          <w:szCs w:val="28"/>
        </w:rPr>
        <w:t> NGÀY 07 THÁNG 5 NĂM 2009 CỦA BỘ TRƯỞNG BỘ GIÁO DỤC VÀ ĐÀO TẠO</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Căn cứ Luật Giáo dục ngày 14 tháng 6 năm 2005; Luật sửa đổi, bổ sung một số điều của Luật Giáo dục ngày 25 tháng 11 năm 2009;</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Căn cứ Nghị định số </w:t>
      </w:r>
      <w:hyperlink r:id="rId7" w:tgtFrame="_blank" w:history="1">
        <w:r w:rsidRPr="002E6CF2">
          <w:rPr>
            <w:rFonts w:ascii="Times New Roman" w:eastAsia="Times New Roman" w:hAnsi="Times New Roman" w:cs="Times New Roman"/>
            <w:i/>
            <w:iCs/>
            <w:color w:val="0E70C3"/>
            <w:sz w:val="28"/>
            <w:szCs w:val="28"/>
          </w:rPr>
          <w:t>75/2006/NĐ-CP</w:t>
        </w:r>
      </w:hyperlink>
      <w:r w:rsidRPr="00FD5E9B">
        <w:rPr>
          <w:rFonts w:ascii="Times New Roman" w:eastAsia="Times New Roman" w:hAnsi="Times New Roman" w:cs="Times New Roman"/>
          <w:i/>
          <w:iCs/>
          <w:color w:val="000000"/>
          <w:sz w:val="28"/>
          <w:szCs w:val="28"/>
        </w:rPr>
        <w:t> ngày 02 tháng 8 năm 2006 của Chính phủ quy định chi tiết và hướng dẫn thi hành một số điều của Luật Giáo dục;</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Căn cứ Nghị định số </w:t>
      </w:r>
      <w:hyperlink r:id="rId8" w:tgtFrame="_blank" w:history="1">
        <w:r w:rsidRPr="002E6CF2">
          <w:rPr>
            <w:rFonts w:ascii="Times New Roman" w:eastAsia="Times New Roman" w:hAnsi="Times New Roman" w:cs="Times New Roman"/>
            <w:i/>
            <w:iCs/>
            <w:color w:val="0E70C3"/>
            <w:sz w:val="28"/>
            <w:szCs w:val="28"/>
          </w:rPr>
          <w:t>31/2011/NĐ-CP</w:t>
        </w:r>
      </w:hyperlink>
      <w:r w:rsidRPr="00FD5E9B">
        <w:rPr>
          <w:rFonts w:ascii="Times New Roman" w:eastAsia="Times New Roman" w:hAnsi="Times New Roman" w:cs="Times New Roman"/>
          <w:i/>
          <w:iCs/>
          <w:color w:val="000000"/>
          <w:sz w:val="28"/>
          <w:szCs w:val="28"/>
        </w:rPr>
        <w:t> ngày 11 tháng 5 năm 2011 của Chính phủ sửa đổi, bổ sung một số điều của Nghị định số </w:t>
      </w:r>
      <w:hyperlink r:id="rId9" w:tgtFrame="_blank" w:history="1">
        <w:r w:rsidRPr="002E6CF2">
          <w:rPr>
            <w:rFonts w:ascii="Times New Roman" w:eastAsia="Times New Roman" w:hAnsi="Times New Roman" w:cs="Times New Roman"/>
            <w:i/>
            <w:iCs/>
            <w:color w:val="0E70C3"/>
            <w:sz w:val="28"/>
            <w:szCs w:val="28"/>
          </w:rPr>
          <w:t>75/2006/NĐ-CP</w:t>
        </w:r>
      </w:hyperlink>
      <w:r w:rsidRPr="00FD5E9B">
        <w:rPr>
          <w:rFonts w:ascii="Times New Roman" w:eastAsia="Times New Roman" w:hAnsi="Times New Roman" w:cs="Times New Roman"/>
          <w:i/>
          <w:iCs/>
          <w:color w:val="000000"/>
          <w:sz w:val="28"/>
          <w:szCs w:val="28"/>
        </w:rPr>
        <w:t> ngày 02 tháng 8 năm 2006 của Chính phủ quy định chi tiết và hướng dẫn thi hành một số điều của Luật Giáo dục;</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Căn cứ Nghị định số </w:t>
      </w:r>
      <w:hyperlink r:id="rId10" w:tgtFrame="_blank" w:history="1">
        <w:r w:rsidRPr="002E6CF2">
          <w:rPr>
            <w:rFonts w:ascii="Times New Roman" w:eastAsia="Times New Roman" w:hAnsi="Times New Roman" w:cs="Times New Roman"/>
            <w:i/>
            <w:iCs/>
            <w:color w:val="0E70C3"/>
            <w:sz w:val="28"/>
            <w:szCs w:val="28"/>
          </w:rPr>
          <w:t>178/2007/NĐ-CP</w:t>
        </w:r>
      </w:hyperlink>
      <w:r w:rsidRPr="00FD5E9B">
        <w:rPr>
          <w:rFonts w:ascii="Times New Roman" w:eastAsia="Times New Roman" w:hAnsi="Times New Roman" w:cs="Times New Roman"/>
          <w:i/>
          <w:iCs/>
          <w:color w:val="000000"/>
          <w:sz w:val="28"/>
          <w:szCs w:val="28"/>
        </w:rPr>
        <w:t> ngày 03 tháng 12 năm 2007 của Chính phủ quy định chức năng, nhiệm vụ, quyền hạn và cơ cấu tổ chức của bộ, cơ quan ngang bộ;</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Căn cứ Nghị định số </w:t>
      </w:r>
      <w:hyperlink r:id="rId11" w:tgtFrame="_blank" w:history="1">
        <w:r w:rsidRPr="002E6CF2">
          <w:rPr>
            <w:rFonts w:ascii="Times New Roman" w:eastAsia="Times New Roman" w:hAnsi="Times New Roman" w:cs="Times New Roman"/>
            <w:i/>
            <w:iCs/>
            <w:color w:val="0E70C3"/>
            <w:sz w:val="28"/>
            <w:szCs w:val="28"/>
          </w:rPr>
          <w:t>32/2008/NĐ-CP</w:t>
        </w:r>
      </w:hyperlink>
      <w:r w:rsidRPr="00FD5E9B">
        <w:rPr>
          <w:rFonts w:ascii="Times New Roman" w:eastAsia="Times New Roman" w:hAnsi="Times New Roman" w:cs="Times New Roman"/>
          <w:i/>
          <w:iCs/>
          <w:color w:val="000000"/>
          <w:sz w:val="28"/>
          <w:szCs w:val="28"/>
        </w:rPr>
        <w:t> ngày 19 tháng 3 năm 2008 của Chính phủ quy định chức năng, nhiệm vụ, quyền hạn và cơ cấu tổ chức của Bộ Giáo dục và Đào tạo;</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Theo đề nghị của Vụ trưởng Vụ Giáo dục Đại học,</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Bộ trưởng Bộ Giáo dục và Đào tạo quyết định:</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Điều 1. </w:t>
      </w:r>
      <w:r w:rsidRPr="00FD5E9B">
        <w:rPr>
          <w:rFonts w:ascii="Times New Roman" w:eastAsia="Times New Roman" w:hAnsi="Times New Roman" w:cs="Times New Roman"/>
          <w:color w:val="000000"/>
          <w:sz w:val="28"/>
          <w:szCs w:val="28"/>
        </w:rPr>
        <w:t>Sửa đổi, bổ sung một số điều của Quy chế đào tạo trình độ tiến sĩ ban hành kèm theo Thông tư số </w:t>
      </w:r>
      <w:hyperlink r:id="rId12" w:tgtFrame="_blank" w:history="1">
        <w:r w:rsidRPr="002E6CF2">
          <w:rPr>
            <w:rFonts w:ascii="Times New Roman" w:eastAsia="Times New Roman" w:hAnsi="Times New Roman" w:cs="Times New Roman"/>
            <w:color w:val="0E70C3"/>
            <w:sz w:val="28"/>
            <w:szCs w:val="28"/>
          </w:rPr>
          <w:t>10/2009/TT-BGDĐT</w:t>
        </w:r>
      </w:hyperlink>
      <w:r w:rsidRPr="00FD5E9B">
        <w:rPr>
          <w:rFonts w:ascii="Times New Roman" w:eastAsia="Times New Roman" w:hAnsi="Times New Roman" w:cs="Times New Roman"/>
          <w:color w:val="000000"/>
          <w:sz w:val="28"/>
          <w:szCs w:val="28"/>
        </w:rPr>
        <w:t> ngày 07 tháng 5 năm 2009 của Bộ trưởng Bộ Giáo dục và Đào tạo như sau:</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1. </w:t>
      </w:r>
      <w:bookmarkStart w:id="0" w:name="dc_1"/>
      <w:r w:rsidRPr="00FD5E9B">
        <w:rPr>
          <w:rFonts w:ascii="Times New Roman" w:eastAsia="Times New Roman" w:hAnsi="Times New Roman" w:cs="Times New Roman"/>
          <w:b/>
          <w:bCs/>
          <w:color w:val="000000"/>
          <w:sz w:val="28"/>
          <w:szCs w:val="28"/>
        </w:rPr>
        <w:t>Khoản 1 Điều 7 </w:t>
      </w:r>
      <w:bookmarkEnd w:id="0"/>
      <w:r w:rsidRPr="00FD5E9B">
        <w:rPr>
          <w:rFonts w:ascii="Times New Roman" w:eastAsia="Times New Roman" w:hAnsi="Times New Roman" w:cs="Times New Roman"/>
          <w:b/>
          <w:bCs/>
          <w:color w:val="000000"/>
          <w:sz w:val="28"/>
          <w:szCs w:val="28"/>
        </w:rPr>
        <w:t>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lastRenderedPageBreak/>
        <w:t>“1. Tuyển sinh đào tạo trình độ tiến sĩ được tổ chức từ 1 đến 2 lần/năm. Thủ trưởng cơ sở đào tạo quyết định số lần tuyển sinh và thời điểm tuyển sinh của năm tiếp theo, đăng ký với Bộ Giáo dục và Đào tạo vào tháng 8 hằng năm.”</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2. Thay thế Phụ lục III </w:t>
      </w:r>
      <w:r w:rsidRPr="00FD5E9B">
        <w:rPr>
          <w:rFonts w:ascii="Times New Roman" w:eastAsia="Times New Roman" w:hAnsi="Times New Roman" w:cs="Times New Roman"/>
          <w:color w:val="000000"/>
          <w:sz w:val="28"/>
          <w:szCs w:val="28"/>
        </w:rPr>
        <w:t>trong Thông tư </w:t>
      </w:r>
      <w:hyperlink r:id="rId13" w:tgtFrame="_blank" w:history="1">
        <w:r w:rsidRPr="002E6CF2">
          <w:rPr>
            <w:rFonts w:ascii="Times New Roman" w:eastAsia="Times New Roman" w:hAnsi="Times New Roman" w:cs="Times New Roman"/>
            <w:color w:val="0E70C3"/>
            <w:sz w:val="28"/>
            <w:szCs w:val="28"/>
          </w:rPr>
          <w:t>10/2009/TT-BGDĐT</w:t>
        </w:r>
      </w:hyperlink>
      <w:r w:rsidRPr="00FD5E9B">
        <w:rPr>
          <w:rFonts w:ascii="Times New Roman" w:eastAsia="Times New Roman" w:hAnsi="Times New Roman" w:cs="Times New Roman"/>
          <w:color w:val="000000"/>
          <w:sz w:val="28"/>
          <w:szCs w:val="28"/>
        </w:rPr>
        <w:t> ngày 07 tháng 5 năm 2009 của Bộ Giáo dục và Đào tạo bằng Phụ lục III, IIIa, IIIb kèm theo Thông tư này.</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3. </w:t>
      </w:r>
      <w:bookmarkStart w:id="1" w:name="dc_2"/>
      <w:r w:rsidRPr="00FD5E9B">
        <w:rPr>
          <w:rFonts w:ascii="Times New Roman" w:eastAsia="Times New Roman" w:hAnsi="Times New Roman" w:cs="Times New Roman"/>
          <w:b/>
          <w:bCs/>
          <w:color w:val="000000"/>
          <w:sz w:val="28"/>
          <w:szCs w:val="28"/>
        </w:rPr>
        <w:t>Điều 9</w:t>
      </w:r>
      <w:bookmarkEnd w:id="1"/>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w:t>
      </w:r>
      <w:r w:rsidRPr="00FD5E9B">
        <w:rPr>
          <w:rFonts w:ascii="Times New Roman" w:eastAsia="Times New Roman" w:hAnsi="Times New Roman" w:cs="Times New Roman"/>
          <w:b/>
          <w:bCs/>
          <w:color w:val="000000"/>
          <w:sz w:val="28"/>
          <w:szCs w:val="28"/>
        </w:rPr>
        <w:t>Điều 9. Yêu cầu về ngoại ngữ của người dự tuyển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Người dự tuyển phải có một trong các chứng chỉ hoặc văn bằng ngoại ngữ sau đây: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Chứng chỉ trình độ ngoại ngữ tương đương cấp độ B1 hoặc bậc 3/6 trở lên theo Khung tham khảo Châu Âu chung về ngoại ngữ (Phụ lục III), trong thời hạn 2 năm tính đến ngày dự tuyển nghiên cứu sinh, do một trung tâm khảo thí quốc tế có thẩm quyền hoặc một trường đại học trong nước đào tạo ngành ngoại ngữ tương ứng trình độ đại học cấp theo khung năng lực tương đương cấp độ B1 quy định tại Phụ lục IIIa, với dạng thức và yêu cầu đề kiểm tra ngoại ngữ quy định tại Phụ lục IIIb;</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b) Bằng tốt nghiệp đại học hoặc bằng thạc sĩ được đào tạo ở nước ngoài;</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c) Bằng tốt nghiệp đại học ngành ngoại ngữ.”</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2. Căn cứ yêu cầu của chương trình đào tạo trình độ tiến sĩ, Thủ trưởng cơ sở đào tạo quy định ngoại ngữ đối với từng chuyên ngành, kể cả ngoại ngữ thứ hai cho người dự tuyển đào tạo trình độ tiến sĩ chuyên ngành ngoại ngữ.”</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4. </w:t>
      </w:r>
      <w:bookmarkStart w:id="2" w:name="dc_3"/>
      <w:r w:rsidRPr="00FD5E9B">
        <w:rPr>
          <w:rFonts w:ascii="Times New Roman" w:eastAsia="Times New Roman" w:hAnsi="Times New Roman" w:cs="Times New Roman"/>
          <w:b/>
          <w:bCs/>
          <w:color w:val="000000"/>
          <w:sz w:val="28"/>
          <w:szCs w:val="28"/>
        </w:rPr>
        <w:t>Khoản 1 Điều 10</w:t>
      </w:r>
      <w:bookmarkEnd w:id="2"/>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Chậm nhất ba tháng trước mỗi kỳ tuyển sinh, cơ sở đào tạo phải ra thông báo tuyển sinh.”</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5. </w:t>
      </w:r>
      <w:bookmarkStart w:id="3" w:name="dc_4"/>
      <w:r w:rsidRPr="00FD5E9B">
        <w:rPr>
          <w:rFonts w:ascii="Times New Roman" w:eastAsia="Times New Roman" w:hAnsi="Times New Roman" w:cs="Times New Roman"/>
          <w:b/>
          <w:bCs/>
          <w:color w:val="000000"/>
          <w:sz w:val="28"/>
          <w:szCs w:val="28"/>
        </w:rPr>
        <w:t>Khoản 2 Điều 19</w:t>
      </w:r>
      <w:bookmarkEnd w:id="3"/>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“2. Hoạt động nghiên cứu khoa học phải phù hợp với mục tiêu của luận án tiến sĩ. Đơn vị chuyên môn và người hướng dẫn khoa học có trách nhiệm tổ chức, bố trí cơ sở vật chất, trang thiết bị thí nghiệm và đội ngũ cán bộ nghiên cứu hỗ trợ nghiên cứu sinh thực hiện các hoạt động nghiên cứu. </w:t>
      </w:r>
      <w:r w:rsidRPr="00FD5E9B">
        <w:rPr>
          <w:rFonts w:ascii="Times New Roman" w:eastAsia="Times New Roman" w:hAnsi="Times New Roman" w:cs="Times New Roman"/>
          <w:color w:val="000000"/>
          <w:spacing w:val="-2"/>
          <w:sz w:val="28"/>
          <w:szCs w:val="28"/>
        </w:rPr>
        <w:t>Đơn vị chuyên môn, người hướng dẫn khoa học và nghiên cứu sinh chịu trách nhiệm về tính trung thực, chính xác, tính mới của kết quả nghiên cứu của luận án, chấp hành các quy định về sở hữu trí tuệ của Việt Nam và quốc tế.”</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lastRenderedPageBreak/>
        <w:t>6. </w:t>
      </w:r>
      <w:bookmarkStart w:id="4" w:name="dc_5"/>
      <w:r w:rsidRPr="00FD5E9B">
        <w:rPr>
          <w:rFonts w:ascii="Times New Roman" w:eastAsia="Times New Roman" w:hAnsi="Times New Roman" w:cs="Times New Roman"/>
          <w:b/>
          <w:bCs/>
          <w:color w:val="000000"/>
          <w:sz w:val="28"/>
          <w:szCs w:val="28"/>
        </w:rPr>
        <w:t>Điều 20</w:t>
      </w:r>
      <w:bookmarkEnd w:id="4"/>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“Điều 20. Luận án tiến sĩ</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Luận án tiến sĩ phải là một công trình nghiên cứu khoa học sáng tạo của chính nghiên cứu sinh, có đóng góp về mặt lý luận và thực tiễn trong lĩnh vực nghiên cứu hoặc giải pháp mới có giá trị trong việc phát triển, gia tăng tri thức khoa học của lĩnh vực nghiên cứu, giải quyết sáng tạo các vấn đề của ngành khoa học hay thực tiễn kinh tế - xã hội.”</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7. </w:t>
      </w:r>
      <w:bookmarkStart w:id="5" w:name="dc_6"/>
      <w:r w:rsidRPr="00FD5E9B">
        <w:rPr>
          <w:rFonts w:ascii="Times New Roman" w:eastAsia="Times New Roman" w:hAnsi="Times New Roman" w:cs="Times New Roman"/>
          <w:b/>
          <w:bCs/>
          <w:color w:val="000000"/>
          <w:sz w:val="28"/>
          <w:szCs w:val="28"/>
        </w:rPr>
        <w:t>Khoản 5 và khoản 7 Điều 21</w:t>
      </w:r>
      <w:bookmarkEnd w:id="5"/>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“5. Nghiên cứu sinh có học phần, chuyên đề tiến sĩ hoặc tiểu luận tổng quan không đạt yêu cầu theo quy định của cơ sở đào tạo sẽ không được tiếp tục làm nghiên cứu sinh. Người chưa có bằng thạc sĩ có thể chuyển sang học và hoàn thành chương trình thạc sĩ để được cấp bằng nếu được một cơ sở đào tạo trình độ thạc sĩ chấp nhận.”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“7. Thủ trưởng cơ sở đào tạo quy định cụ thể việc tổ chức giảng dạy, đánh giá học phần, chuyên đề tiến sĩ và tiểu luận tổng quan của nghiên cứu sinh; điều kiện để nghiên cứu sinh được tiếp tục đào tạo khi kết thúc các học phần và tiểu luận tổng quan.”</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8. </w:t>
      </w:r>
      <w:bookmarkStart w:id="6" w:name="dc_7"/>
      <w:r w:rsidRPr="00FD5E9B">
        <w:rPr>
          <w:rFonts w:ascii="Times New Roman" w:eastAsia="Times New Roman" w:hAnsi="Times New Roman" w:cs="Times New Roman"/>
          <w:b/>
          <w:bCs/>
          <w:color w:val="000000"/>
          <w:sz w:val="28"/>
          <w:szCs w:val="28"/>
        </w:rPr>
        <w:t>Điều 22</w:t>
      </w:r>
      <w:bookmarkEnd w:id="6"/>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w:t>
      </w:r>
      <w:r w:rsidRPr="00FD5E9B">
        <w:rPr>
          <w:rFonts w:ascii="Times New Roman" w:eastAsia="Times New Roman" w:hAnsi="Times New Roman" w:cs="Times New Roman"/>
          <w:b/>
          <w:bCs/>
          <w:color w:val="000000"/>
          <w:sz w:val="28"/>
          <w:szCs w:val="28"/>
        </w:rPr>
        <w:t>Điều 22. Trình độ ngoại ngữ của nghiên cứu sinh trước khi bảo vệ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Trước khi bảo vệ luận án, nghiên cứu sinh phải có một trong các chứng chỉ, văn bằng sau đây: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Có chứng chỉ trình độ ngoại ngữ tương đương cấp độ B2 </w:t>
      </w:r>
      <w:r w:rsidRPr="00FD5E9B">
        <w:rPr>
          <w:rFonts w:ascii="Times New Roman" w:eastAsia="Times New Roman" w:hAnsi="Times New Roman" w:cs="Times New Roman"/>
          <w:color w:val="000000"/>
          <w:spacing w:val="-2"/>
          <w:sz w:val="28"/>
          <w:szCs w:val="28"/>
        </w:rPr>
        <w:t>hoặc bậc 4/6 trở lên theo </w:t>
      </w:r>
      <w:r w:rsidRPr="00FD5E9B">
        <w:rPr>
          <w:rFonts w:ascii="Times New Roman" w:eastAsia="Times New Roman" w:hAnsi="Times New Roman" w:cs="Times New Roman"/>
          <w:color w:val="000000"/>
          <w:sz w:val="28"/>
          <w:szCs w:val="28"/>
        </w:rPr>
        <w:t>Khung tham khảo Châu Âu chung về ngoại ngữ (Phụ lục III), trong thời hạn 01 năm tính đến ngày trình hồ sơ bảo vệ luận án cấp cơ sở, do một trung tâm khảo thí quốc tế có thẩm quyền hoặc một trường đại học trong nước được đào tạo ngành ngoại ngữ tương ứng trình độ đại học cấp theo khung năng lực tương đương cấp độ B2 quy định tại Phụ lục IIIa, với dạng thức và yêu cầu đề kiểm tra ngoại ngữ quy định tại Phụ lục IIIb.</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2. Có một trong các văn bằng quy định tại điểm b, c khoản 2 Điều 9 của Quy chế này.”</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9. </w:t>
      </w:r>
      <w:bookmarkStart w:id="7" w:name="dc_8"/>
      <w:r w:rsidRPr="00FD5E9B">
        <w:rPr>
          <w:rFonts w:ascii="Times New Roman" w:eastAsia="Times New Roman" w:hAnsi="Times New Roman" w:cs="Times New Roman"/>
          <w:b/>
          <w:bCs/>
          <w:color w:val="000000"/>
          <w:sz w:val="28"/>
          <w:szCs w:val="28"/>
        </w:rPr>
        <w:t>Khoản 5 Điều 23</w:t>
      </w:r>
      <w:bookmarkEnd w:id="7"/>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lastRenderedPageBreak/>
        <w:t>“5. Thủ trưởng cơ sở đào tạo xem xét, quyết định cho phép bảo vệ luận án trước thời hạn khi nghiên cứu sinh hoàn thành chương trình đào tạo, đáp ứng các điều kiện để được bảo vệ luận án quy định tại khoản 2 Điều 31 của Quy chế này.”</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10. </w:t>
      </w:r>
      <w:bookmarkStart w:id="8" w:name="dc_9"/>
      <w:r w:rsidRPr="00FD5E9B">
        <w:rPr>
          <w:rFonts w:ascii="Times New Roman" w:eastAsia="Times New Roman" w:hAnsi="Times New Roman" w:cs="Times New Roman"/>
          <w:b/>
          <w:bCs/>
          <w:color w:val="000000"/>
          <w:sz w:val="28"/>
          <w:szCs w:val="28"/>
        </w:rPr>
        <w:t>Điểm đ khoản 1 Điều 25</w:t>
      </w:r>
      <w:bookmarkEnd w:id="8"/>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“đ) Có năng lực ngoại ngữ phục vụ nghiên cứu chuyên ngành và trao đổi khoa học quốc tế;”</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11. </w:t>
      </w:r>
      <w:bookmarkStart w:id="9" w:name="dc_10"/>
      <w:r w:rsidRPr="00FD5E9B">
        <w:rPr>
          <w:rFonts w:ascii="Times New Roman" w:eastAsia="Times New Roman" w:hAnsi="Times New Roman" w:cs="Times New Roman"/>
          <w:b/>
          <w:bCs/>
          <w:color w:val="000000"/>
          <w:sz w:val="28"/>
          <w:szCs w:val="28"/>
        </w:rPr>
        <w:t>Khoản 4 và khoản 5 Điều 25</w:t>
      </w:r>
      <w:bookmarkEnd w:id="9"/>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“4. Mỗi người hướng dẫn khoa học không được nhận quá 2 nghiên cứu sinh được tuyển trong cùng một năm ở tất cả các cơ sở đào tạo. Giáo sư được hướng dẫn cùng lúc không quá 5 nghiên cứu sinh; phó giáo sư hoặc tiến sĩ khoa học được hướng dẫn cùng lúc không quá 4 nghiên cứu sinh; tiến sĩ được hướng dẫn cùng lúc không quá 3 nghiên cứu sinh ở tất cả các cơ sở đào tạo, kể cả nghiên cứu sinh đồng hướng dẫn và nghiên cứu sinh đã hết hạn đào tạo nhưng còn trong thời gian được phép quay lại cơ sở đào tạo xin bảo vệ luận án theo quy định tại khoản 7 Điều 23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5. Trong vòng 5 năm, tính đến ngày giao nhiệm vụ hướng dẫn nghiên cứu sinh, nếu người hướng dẫn khoa học có 2 nghiên cứu sinh không hoàn thành luận án vì lý do chuyên môn sẽ không được giao hướng dẫn nghiên cứu sinh mới.”</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12. </w:t>
      </w:r>
      <w:bookmarkStart w:id="10" w:name="dc_11"/>
      <w:r w:rsidRPr="00FD5E9B">
        <w:rPr>
          <w:rFonts w:ascii="Times New Roman" w:eastAsia="Times New Roman" w:hAnsi="Times New Roman" w:cs="Times New Roman"/>
          <w:b/>
          <w:bCs/>
          <w:color w:val="000000"/>
          <w:sz w:val="28"/>
          <w:szCs w:val="28"/>
        </w:rPr>
        <w:t>Điểm đ khoản 12 Điều 29</w:t>
      </w:r>
      <w:bookmarkEnd w:id="10"/>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“đ) Quyết định trúng tuyển, bảng điểm gốc, hồ sơ bảo vệ luận án các cấp, hồ sơ xét cấp bằng tiến sĩ, quyết định cấp bằng tiến sĩ, sổ gốc cấp văn bằng tốt nghiệp là tài liệu được lưu trữ, bảo quản vĩnh viễn tại cơ sở đào tạo. Tài liệu tuyển sinh, đào tạo và các tài liệu khác được lưu trữ, bảo quản trong thời hạn 5 năm sau khi người học tốt nghiệp. Các bài thi học phần, báo cáo chuyên đề, tiểu luận tổng quan của nghiên cứu sinh được bảo quản và lưu trữ đến khi nghiên cứu sinh tốt nghiệp. Việc tiêu hủy tài liệu hết giá trị sử dụng được thực hiện theo quy định hiện hành.”</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13. </w:t>
      </w:r>
      <w:bookmarkStart w:id="11" w:name="dc_12"/>
      <w:r w:rsidRPr="00FD5E9B">
        <w:rPr>
          <w:rFonts w:ascii="Times New Roman" w:eastAsia="Times New Roman" w:hAnsi="Times New Roman" w:cs="Times New Roman"/>
          <w:b/>
          <w:bCs/>
          <w:color w:val="000000"/>
          <w:sz w:val="28"/>
          <w:szCs w:val="28"/>
        </w:rPr>
        <w:t>Khoản 2 Điều 30</w:t>
      </w:r>
      <w:bookmarkEnd w:id="11"/>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“2. Luận án tiến sĩ có khối lượng không quá 150 trang A4, không kể phụ lục, trong đó có ít nhất 50% số trang trình bày kết quả nghiên cứu và biện luận của riêng nghiên cứu sinh. Cấu trúc của luận án tiến sĩ bao gồm các phần và chương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Phần mở đầu: giới thiệu ngắn gọn về công trình nghiên cứu, lý do lựa chọn đề tài, mục đích, đối tượng, phạm vi nghiên cứu, ý nghĩa khoa học và thực tiễn của đề tài;</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lastRenderedPageBreak/>
        <w:t>b) Tổng quan về vấn đề nghiên cứu: phân tích, đánh giá các công trình nghiên cứu liên quan mật thiết đến đề tài luận án đã được công bố ở trong và ngoài nước, chỉ ra những vấn đề còn tồn tại mà luận án sẽ tập trung giải quyết, xác định mục tiêu của đề tài, nội dung và phương pháp nghiên cứu;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c) Nội dung, kết quả nghiên cứu (một hoặc nhiều chương): trình bày cơ sở lý thuyết, lý luận và giả thuyết khoa học; phương pháp nghiên cứu; kết quả nghiên cứu và bàn luận.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d) Kết luận và kiến nghị: trình bày những phát hiện mới, những kết luận rút ra từ kết quả nghiên cứu; kiến nghị về những nghiên cứu tiếp theo;</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đ) Danh mục các công trình công bố kết quả nghiên cứu của đề tài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pacing w:val="-4"/>
          <w:sz w:val="28"/>
          <w:szCs w:val="28"/>
        </w:rPr>
        <w:t>e) Danh mục tài liệu tham khảo được trích dẫn và sử dụng trong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g) Phụ lục (nếu có).”</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14. </w:t>
      </w:r>
      <w:bookmarkStart w:id="12" w:name="dc_13"/>
      <w:r w:rsidRPr="00FD5E9B">
        <w:rPr>
          <w:rFonts w:ascii="Times New Roman" w:eastAsia="Times New Roman" w:hAnsi="Times New Roman" w:cs="Times New Roman"/>
          <w:b/>
          <w:bCs/>
          <w:color w:val="000000"/>
          <w:sz w:val="28"/>
          <w:szCs w:val="28"/>
        </w:rPr>
        <w:t>Khoản 7 Điều 30</w:t>
      </w:r>
      <w:bookmarkEnd w:id="12"/>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“7. Nội dung chủ yếu và các kết quả nghiên cứu của luận án phải được báo cáo tại các hội nghị khoa học chuyên ngành; được công bố ít nhất trong hai bài báo trên tạp chí khoa học chuyên ngành có phản biện độc lập, được Hội đồng chức danh giáo sư Nhà nước tính điểm, có trong danh mục các tạp chí khoa học mà cơ sở đào tạo quy định cho mỗi chuyên ngành đào tạo. Khuyến khích nghiên cứu sinh đăng bài trên các tạp chí khoa học quốc tế có uy tín được liệt kê tại địa chỉ http://science.thomsonreuters.com/mjl/ hoặc kỷ yếu Hội nghị khoa học quốc tế do một Nhà xuất bản quốc tế có uy tín ấn hành.”</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15. </w:t>
      </w:r>
      <w:bookmarkStart w:id="13" w:name="dc_14"/>
      <w:r w:rsidRPr="00FD5E9B">
        <w:rPr>
          <w:rFonts w:ascii="Times New Roman" w:eastAsia="Times New Roman" w:hAnsi="Times New Roman" w:cs="Times New Roman"/>
          <w:b/>
          <w:bCs/>
          <w:color w:val="000000"/>
          <w:sz w:val="28"/>
          <w:szCs w:val="28"/>
        </w:rPr>
        <w:t>Điểm a, b khoản 2 Điều 31</w:t>
      </w:r>
      <w:bookmarkEnd w:id="13"/>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Ðã hoàn thành trong thời gian quy định luận án, chương trình học tập và các yêu cầu quy định tại các Ðiều 17, 18, 19, 20 và 22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b) Luận án đáp ứng các yêu cầu quy định tại Ðiều 20 và Ðiều 30 của Quy chế này và quy định của cơ sở đào tạo. Luận án được viết và bảo vệ bằng tiếng nước ngoài khi cơ sở đào tạo có khả năng thành lập Hội đồng đánh giá luận án bằng tiếng nước ngoài tương ứng;”</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16. </w:t>
      </w:r>
      <w:bookmarkStart w:id="14" w:name="dc_15"/>
      <w:r w:rsidRPr="00FD5E9B">
        <w:rPr>
          <w:rFonts w:ascii="Times New Roman" w:eastAsia="Times New Roman" w:hAnsi="Times New Roman" w:cs="Times New Roman"/>
          <w:b/>
          <w:bCs/>
          <w:color w:val="000000"/>
          <w:sz w:val="28"/>
          <w:szCs w:val="28"/>
        </w:rPr>
        <w:t>Khoản 2 Điều 32</w:t>
      </w:r>
      <w:bookmarkEnd w:id="14"/>
      <w:r w:rsidRPr="00FD5E9B">
        <w:rPr>
          <w:rFonts w:ascii="Times New Roman" w:eastAsia="Times New Roman" w:hAnsi="Times New Roman" w:cs="Times New Roman"/>
          <w:b/>
          <w:bCs/>
          <w:color w:val="000000"/>
          <w:sz w:val="28"/>
          <w:szCs w:val="28"/>
        </w:rPr>
        <w:t> được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 xml:space="preserve">“2. Hội đồng đánh giá luận án cấp cơ sở gồm 7 thành viên, có chức danh khoa học, có bằng tiến sĩ khoa học hoặc tiến sĩ, am hiểu lĩnh vực đề tài nghiên cứu, trong đó có ít nhất hai nhà khoa học ở ngoài cơ sở đào tạo. Hội đồng gồm Chủ tịch, Thư ký, </w:t>
      </w:r>
      <w:r w:rsidRPr="00FD5E9B">
        <w:rPr>
          <w:rFonts w:ascii="Times New Roman" w:eastAsia="Times New Roman" w:hAnsi="Times New Roman" w:cs="Times New Roman"/>
          <w:color w:val="000000"/>
          <w:sz w:val="28"/>
          <w:szCs w:val="28"/>
        </w:rPr>
        <w:lastRenderedPageBreak/>
        <w:t>hai phản biện và các ủy viên Hội đồng. Mỗi thành viên Hội đồng chỉ đảm nhiệm một trách nhiệm trong Hội đồng. Khuyến khích mời các nhà khoa học giỏi là người nước ngoài hoặc người Việt Nam ở nước ngoài làm phản biện trong Hội đồng.”</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17. </w:t>
      </w:r>
      <w:bookmarkStart w:id="15" w:name="dc_16"/>
      <w:r w:rsidRPr="00FD5E9B">
        <w:rPr>
          <w:rFonts w:ascii="Times New Roman" w:eastAsia="Times New Roman" w:hAnsi="Times New Roman" w:cs="Times New Roman"/>
          <w:b/>
          <w:bCs/>
          <w:color w:val="000000"/>
          <w:sz w:val="28"/>
          <w:szCs w:val="28"/>
        </w:rPr>
        <w:t>Khoản 1 Điều 35</w:t>
      </w:r>
      <w:bookmarkEnd w:id="15"/>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Hội đồng đánh giá luận án cấp trường hoặc viện gồm 7 thành viên, trong đó số thành viên thuộc cơ sở đào tạo không quá 3 người. Thành viên Hội đồng là những nhà khoa học có chức danh giáo sư, phó giáo sư, có bằng tiến sĩ khoa học hoặc tiến sĩ; có phẩm chất đạo đức tốt; có uy tín chuyên môn; am hiểu vấn đề nghiên cứu của luận án; có công trình liên quan đến lĩnh vực nghiên cứu của nghiên cứu sinh công bố trong vòng 3 năm tính đến khi được mời tham gia Hội đồng. Số thành viên có chức danh giáo sư, phó giáo sư ít nhất là 2 người; thành viên là tiến sĩ phải đã nhận bằng đủ 36 tháng tính đến ngày thành lập Hội đồng.”</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18. Bổ sung điểm đ vào </w:t>
      </w:r>
      <w:bookmarkStart w:id="16" w:name="dc_17"/>
      <w:r w:rsidRPr="00FD5E9B">
        <w:rPr>
          <w:rFonts w:ascii="Times New Roman" w:eastAsia="Times New Roman" w:hAnsi="Times New Roman" w:cs="Times New Roman"/>
          <w:b/>
          <w:bCs/>
          <w:color w:val="000000"/>
          <w:sz w:val="28"/>
          <w:szCs w:val="28"/>
        </w:rPr>
        <w:t>khoản 2 Điều 36 </w:t>
      </w:r>
      <w:bookmarkEnd w:id="16"/>
      <w:r w:rsidRPr="00FD5E9B">
        <w:rPr>
          <w:rFonts w:ascii="Times New Roman" w:eastAsia="Times New Roman" w:hAnsi="Times New Roman" w:cs="Times New Roman"/>
          <w:b/>
          <w:bCs/>
          <w:color w:val="000000"/>
          <w:sz w:val="28"/>
          <w:szCs w:val="28"/>
        </w:rPr>
        <w:t>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“đ) Hội đồng đánh giá luận án cấp trường hoặc viện chỉ họp sau khi nhận được ít nhất 15 bản nhận xét của các nhà khoa học thuộc ngành, lĩnh vực nghiên cứu có trong danh sách gửi tóm tắt luận án và nhận xét của tất cả các thành viên Hội đồng đánh giá luận án.”</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19. Bổ sung điểm g vào </w:t>
      </w:r>
      <w:bookmarkStart w:id="17" w:name="dc_18"/>
      <w:r w:rsidRPr="00FD5E9B">
        <w:rPr>
          <w:rFonts w:ascii="Times New Roman" w:eastAsia="Times New Roman" w:hAnsi="Times New Roman" w:cs="Times New Roman"/>
          <w:b/>
          <w:bCs/>
          <w:color w:val="000000"/>
          <w:sz w:val="28"/>
          <w:szCs w:val="28"/>
        </w:rPr>
        <w:t>khoản 3 Điều 36</w:t>
      </w:r>
      <w:bookmarkEnd w:id="17"/>
      <w:r w:rsidRPr="00FD5E9B">
        <w:rPr>
          <w:rFonts w:ascii="Times New Roman" w:eastAsia="Times New Roman" w:hAnsi="Times New Roman" w:cs="Times New Roman"/>
          <w:b/>
          <w:bCs/>
          <w:color w:val="000000"/>
          <w:sz w:val="28"/>
          <w:szCs w:val="28"/>
        </w:rPr>
        <w:t>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“g) Có hai nhận xét của thành viên Hội đồng không tán thành luận án. Trường hợp này luận án được xem là không đạt yêu cầu, không cần phải tổ chức bảo vệ luận án.”</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20. Bổ sung vào cuối </w:t>
      </w:r>
      <w:bookmarkStart w:id="18" w:name="dc_19"/>
      <w:r w:rsidRPr="00FD5E9B">
        <w:rPr>
          <w:rFonts w:ascii="Times New Roman" w:eastAsia="Times New Roman" w:hAnsi="Times New Roman" w:cs="Times New Roman"/>
          <w:b/>
          <w:bCs/>
          <w:color w:val="000000"/>
          <w:sz w:val="28"/>
          <w:szCs w:val="28"/>
        </w:rPr>
        <w:t>khoản 5 Điều 36</w:t>
      </w:r>
      <w:bookmarkEnd w:id="18"/>
      <w:r w:rsidRPr="00FD5E9B">
        <w:rPr>
          <w:rFonts w:ascii="Times New Roman" w:eastAsia="Times New Roman" w:hAnsi="Times New Roman" w:cs="Times New Roman"/>
          <w:b/>
          <w:bCs/>
          <w:color w:val="000000"/>
          <w:sz w:val="28"/>
          <w:szCs w:val="28"/>
        </w:rPr>
        <w:t> câu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“Hội đồng đánh giá luận án tự giải thể sau khi hoàn thành việc đánh giá luận án tiến sĩ của nghiên cứu sinh.”</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21. </w:t>
      </w:r>
      <w:bookmarkStart w:id="19" w:name="dc_20"/>
      <w:r w:rsidRPr="00FD5E9B">
        <w:rPr>
          <w:rFonts w:ascii="Times New Roman" w:eastAsia="Times New Roman" w:hAnsi="Times New Roman" w:cs="Times New Roman"/>
          <w:b/>
          <w:bCs/>
          <w:color w:val="000000"/>
          <w:sz w:val="28"/>
          <w:szCs w:val="28"/>
        </w:rPr>
        <w:t>Điều 40</w:t>
      </w:r>
      <w:bookmarkEnd w:id="19"/>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w:t>
      </w:r>
      <w:r w:rsidRPr="00FD5E9B">
        <w:rPr>
          <w:rFonts w:ascii="Times New Roman" w:eastAsia="Times New Roman" w:hAnsi="Times New Roman" w:cs="Times New Roman"/>
          <w:b/>
          <w:bCs/>
          <w:color w:val="000000"/>
          <w:spacing w:val="-4"/>
          <w:sz w:val="28"/>
          <w:szCs w:val="28"/>
        </w:rPr>
        <w:t>Điều 40. Thẩm định hồ sơ quá trình đào tạo và chất lượng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Vào tuần cuối của các tháng chẵn trong năm, cơ sở đào tạo gửi Bộ Giáo dục và Đào tạo danh sách nghiên cứu sinh bảo vệ luận án trong 2 tháng trước đó (mẫu tại Phụ lục VI), kèm theo hồ sơ của từng nghiên cứu sinh bao gồm:</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Bản sao quyết định thành lập Hội đồng đánh giá luận án cấp cơ sở và Hội đồng đánh giá luận án cấp trường hoặc viện;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lastRenderedPageBreak/>
        <w:t>b) Bản sao biên bản và nghị quyết của tất cả các phiên họp của các Hội đồng đánh giá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c) Bản sao nhận xét của các phản biện độc lập;</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d) Trang thông tin những đóng góp mới về mặt học thuật, lý luận của luận án bằng tiếng Việt và tiếng Anh;</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đ) Tóm tắt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2. Việc thẩm định hồ sơ quá trình đào tạo, nội dung và chất lượng luận án được thực hiện trong các trường hợp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Thẩm định ngẫu nhiên: rút xác suất trong số hồ sơ luận án đã bảo vệ theo báo cáo của cơ sở đào tạo để thẩm định;</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b) Khi có đơn thư khiếu nại, tố cáo về hồ sơ quá trình đào tạo, nội dung và chất lượng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3. Số lượng hồ sơ, luận án được thẩm định không ít hơn 30% số luận án bảo vệ trong năm của cơ sở đào tạo. Trong thời gian 10 ngày làm việc kể từ ngày nhận được báo cáo của cơ sở đào tạo, Bộ Giáo dục và Đào tạo rà soát báo cáo và có văn bản thông báo cho cơ sở đào tạo các trường hợp cần thẩm định và nội dung cần thẩm định của mỗi trường hợp.</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4. Hồ sơ thẩm định quá trình đào tạo:</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Hồ sơ dự tuyển của nghiên cứu sinh quy định tại điểm c khoản 2 Điều 10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b) Văn bản nhận xét đánh giá phân loại nghiên cứu sinh khi dự tuyển của Tiểu ban chuyên môn, bản tổng hợp kết quả đánh giá của các thành viên Tiểu ban chuyên môn và kết quả xếp loại xét tuyển của Ban thư ký Hội đồng tuyển sinh theo quy định tại khoản 2, 3 và 4 Điều 14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c) Hồ sơ đề nghị bảo vệ luận án cấp trường hoặc viện của nghiên cứu sinh quy định tại khoản 2 Điều 33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d) Hồ sơ thực hiện quy trình lựa chọn, gửi lấy ý kiến và xử lý ý kiến phản biện độc lập luận án của nghiên cứu sinh theo quy định tại khoản 5 Điều 34 của Quy chế này và các bản nhận xét của phản biện độc lập;</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lastRenderedPageBreak/>
        <w:t>đ) Hồ sơ xét cấp bằng tiến sĩ của nghiên cứu sinh quy định tại khoản 3 Điều 43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e) Số lượng hồ sơ: 01 bộ.</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5. Hồ sơ thẩm định nội dung, chất lượng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Luận án tiến sĩ đã xoá thông tin về nghiên cứu sinh, người hướng dẫn khoa học và cơ sở đào tạo;</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b) Tóm tắt luận án đã xoá thông tin về nghiên cứu sinh, người hướng dẫn khoa học và cơ sở đào tạo;</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c) Bản sao các bài báo công bố kết quả nghiên cứu của đề tài luận án trên các tạp chí khoa học chuyên ngành;</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d) Số lượng hồ sơ: 03 bộ.</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6. Hồ sơ thẩm định được gửi trực tiếp hoặc qua bưu điện đến Bộ Giáo dục và Đào tạo. Trong thời gian không quá 60 ngày làm việc kể từ ngày nhận được đầy đủ hồ sơ thẩm định, Bộ Giáo dục và Đào tạo tiến hành thẩm định hồ sơ quá trình đào tạo, nội dung và chất lượng luận án và có văn bản thông báo kết quả thẩm định.</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7. Hồ sơ quá trình đào tạo đạt yêu cầu thẩm định khi đảm bảo các quy định về tuyển sinh, tổ chức và quản lý đào tạo, quy trình tổ chức đánh giá luận án các cấp quy định tại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8. Nội dung, chất lượng luận án được thẩm định bằng hình thức lấy ý kiến thẩm định độc lập của 3 nhà khoa học ở trong hoặc ngoài nước, có chức danh giáo sư hoặc phó giáo sư, có bằng tiến sĩ khoa học hoặc tiến sĩ, am hiểu đề tài và lĩnh vực nghiên cứu của nghiên cứu sinh, có chính kiến và bản lĩnh khoa học, khách quan, trung thực. Chất lượng luận án đạt yêu cầu thẩm định nếu có ít nhất 2 ý kiến tán thành.</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9. Trường hợp có đơn, thư khiếu nại, tố cáo về nội dung, chất lượng luận án hoặc luận án có ít nhất 2 ý kiến thẩm định không tán thành, Bộ Giáo dục và Đào tạo ra quyết định thành lập Hội đồng thẩm định luận án, uỷ nhiệm Thủ trưởng cơ sở đào tạo có nghiên cứu sinh tổ chức họp Hội đồng thẩm định luận án có sự giám sát của đại diện Bộ Giáo dục và Đào tạo.”</w:t>
      </w:r>
    </w:p>
    <w:p w:rsidR="002E6CF2" w:rsidRDefault="002E6CF2" w:rsidP="00FD5E9B">
      <w:pPr>
        <w:shd w:val="clear" w:color="auto" w:fill="FFFFFF"/>
        <w:spacing w:after="0"/>
        <w:ind w:right="-28"/>
        <w:rPr>
          <w:rFonts w:ascii="Times New Roman" w:eastAsia="Times New Roman" w:hAnsi="Times New Roman" w:cs="Times New Roman"/>
          <w:b/>
          <w:bCs/>
          <w:color w:val="000000"/>
          <w:sz w:val="28"/>
          <w:szCs w:val="28"/>
        </w:rPr>
      </w:pPr>
    </w:p>
    <w:p w:rsidR="002E6CF2" w:rsidRDefault="002E6CF2" w:rsidP="00FD5E9B">
      <w:pPr>
        <w:shd w:val="clear" w:color="auto" w:fill="FFFFFF"/>
        <w:spacing w:after="0"/>
        <w:ind w:right="-28"/>
        <w:rPr>
          <w:rFonts w:ascii="Times New Roman" w:eastAsia="Times New Roman" w:hAnsi="Times New Roman" w:cs="Times New Roman"/>
          <w:b/>
          <w:bCs/>
          <w:color w:val="000000"/>
          <w:sz w:val="28"/>
          <w:szCs w:val="28"/>
        </w:rPr>
      </w:pP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lastRenderedPageBreak/>
        <w:t>22. </w:t>
      </w:r>
      <w:bookmarkStart w:id="20" w:name="dc_21"/>
      <w:r w:rsidRPr="00FD5E9B">
        <w:rPr>
          <w:rFonts w:ascii="Times New Roman" w:eastAsia="Times New Roman" w:hAnsi="Times New Roman" w:cs="Times New Roman"/>
          <w:b/>
          <w:bCs/>
          <w:color w:val="000000"/>
          <w:sz w:val="28"/>
          <w:szCs w:val="28"/>
        </w:rPr>
        <w:t>Điều 41 </w:t>
      </w:r>
      <w:bookmarkEnd w:id="20"/>
      <w:r w:rsidRPr="00FD5E9B">
        <w:rPr>
          <w:rFonts w:ascii="Times New Roman" w:eastAsia="Times New Roman" w:hAnsi="Times New Roman" w:cs="Times New Roman"/>
          <w:b/>
          <w:bCs/>
          <w:color w:val="000000"/>
          <w:sz w:val="28"/>
          <w:szCs w:val="28"/>
        </w:rPr>
        <w:t>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“Điều 41. Hội đồng thẩm định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Hội đồng thẩm định luận án gồm 7 thành viên, trong đó có ít nhất 4 thành viên chưa tham gia hội đồng đánh giá luận án cấp cơ sở hay hội đồng đánh giá luận án cấp trường hoặc viện của luận án được thẩm định. Thành viên Hội đồng thẩm định là các nhà khoa học trong hoặc ngoài nước, có chức danh giáo sư hoặc phó giáo sư; có bằng tiến sĩ khoa học hoặc tiến sĩ; am hiểu về đề tài và lĩnh vực nghiên cứu của nghiên cứu sinh; có công trình công bố về lĩnh vực của đề tài luận án trong 3 năm tính đến ngày thành lập hội đồng; có chính kiến và bản lĩnh khoa học, khách quan, trung thực. Hội đồng có Chủ tịch Hội đồng, Thư ký và các ủy viên. Người hướng dẫn không được tham gia vào Hội đồng thẩm định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2. Trước khi họp Hội đồng thẩm định, các thành viên Hội đồng có bản nhận xét về tính cấp thiết của đề tài luận án, sự phù hợp với chuyên ngành; không trùng lặp về đề tài, nội dung, kết quả nghiên cứu với các công trình đã được công bố; tính trung thực, minh bạch trong trích dẫn tư liệu; bố cục và hình thức trình bày; nội dung, phương pháp, kết quả, ý nghĩa, độ tin cậy của các kết quả đạt được; những phát hiện, luận điểm mới của luận án; đánh giá thành công và hạn chế của luận án, khẳng định mức độ đáp ứng yêu cầu của một luận án tiến sĩ.</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3. Hội đồng chỉ họp khi có mặt ít nhất 6 thành viên Hội đồng bao gồm Chủ tịch Hội đồng, Thư ký Hội đồng và các thành viên hội đồng có ý kiến không tán thành luận án (nếu có). Hội đồng thẩm định luận án có trách nhiệm xem xét, đánh giá nội dung và chất lượng luận án; làm rõ những nội dung đơn thư khiếu nại, tố cáo; nội dung nhận xét, kết luận của những người thẩm định độc lập luận án. Hội đồng phải có biên bản chi tiết các ý kiến thảo luận, trao đổi, kết luận và quyết nghị về nội dung, chất lượng luận án. Luận án đạt yêu cầu thẩm định khi có ít nhất 5 thành viên Hội đồng có mặt tán thành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4. Trường hợp luận án không đạt yêu cầu thẩm định, Thủ trưởng cơ sở đào tạo tổ chức cuộc họp đối thoại giữa Hội đồng thẩm định luận án và Hội đồng chấm luận án cấp trường hoặc viện với sự giám sát của đại diện Bộ Giáo dục và Đào tạo. Số lượng thành viên của hai Hội đồng dự họp ít nhất là 12 người, trong đó Chủ tịch, phản biện, thư ký và các thành viên có ý kiến không tán thành của hai Hội đồng phải có mặt.</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lastRenderedPageBreak/>
        <w:t>5. Thủ trưởng cơ sở đào tạo trực tiếp điều hành cuộc họp, bầu thư ký. Thành viên của hai Hội đồng tranh luận về nội dung và chất lượng luận án, bỏ phiếu đánh giá lại luận án. Luận án đạt yêu cầu nếu có ít nhất 3/4 thành viên có mặt tán thành. Kết quả cuộc họp đối thoại là kết quả thẩm định cuối cùng về nội dung, chất lượng luận án.”</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23. </w:t>
      </w:r>
      <w:bookmarkStart w:id="21" w:name="dc_22"/>
      <w:r w:rsidRPr="00FD5E9B">
        <w:rPr>
          <w:rFonts w:ascii="Times New Roman" w:eastAsia="Times New Roman" w:hAnsi="Times New Roman" w:cs="Times New Roman"/>
          <w:b/>
          <w:bCs/>
          <w:color w:val="000000"/>
          <w:sz w:val="28"/>
          <w:szCs w:val="28"/>
        </w:rPr>
        <w:t>Khoản 1, 2, 3 và 4 Điều 42</w:t>
      </w:r>
      <w:bookmarkEnd w:id="21"/>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Đối với luận án đạt yêu cầu khi thẩm định nhưng có ý kiến của người thẩm định độc lập hoặc của Hội đồng thẩm định yêu cầu phải sửa chữa, thì Hội đồng đánh giá luận án cấp trường hoặc viện cùng với người hướng dẫn và nghiên cứu sinh xem xét và quyết định các điểm cần bổ sung chỉnh sửa. Sau khi nghiên cứu sinh hoàn thành việc sửa chữa, Chủ tịch Hội đồng đánh giá luận án cấp trường hoặc viện kiểm tra và xác nhận chi tiết những nội dung đã bổ sung chỉnh sửa, báo cáo Thủ trưởng cơ sở đào tạo cấp bằng tiến sĩ cho nghiên cứu sinh theo các yêu cầu quy định tại Điều 43 và Điều 44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2. Đối với luận án không đạt yêu cầu thẩm định:</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Trường hợp chưa được cấp bằng tiến sĩ, nghiên cứu sinh được sửa chữa, bổ sung và bảo vệ lại luận án theo quy định tại Điều 38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b) Trường hợp đã được cấp bằng tiến sĩ sẽ được xem xét xử lý theo pháp luật hiện hành đối với văn bằng đã được cấp.</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3. Đối với hồ sơ quá trình đào tạo không đạt yêu cầu thẩm định, căn cứ thông báo của Bộ Giáo dục và Đào tạo, Thủ trưởng cơ sở đào tạo bổ sung hoàn thiện hồ sơ. Trường hợp phát hiện có vi phạm hành chính thì được chuyển xem xét xử lý theo quy định hiện hành về xử phạt hành chính trong lĩnh vực giáo dục.</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4. Trong thời gian không quá hai tháng kể từ ngày nhận được thông báo của Bộ Giáo dục và Đào tạo về kết quả thẩm định, Thủ trưởng cơ sở đào tạo có văn bản báo cáo Bộ Giáo dục và Đào tạo về việc xử lý kết quả thẩm định theo các nội dung nêu tại các khoản 1, 2, 3 Điều này, cùng với báo cáo bảo vệ luận án của nghiên cứu sinh của kỳ tiếp theo (nếu có) theo quy định tại khoản 1 Điều 40 của Quy chế này.”</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24. </w:t>
      </w:r>
      <w:bookmarkStart w:id="22" w:name="dc_23"/>
      <w:r w:rsidRPr="00FD5E9B">
        <w:rPr>
          <w:rFonts w:ascii="Times New Roman" w:eastAsia="Times New Roman" w:hAnsi="Times New Roman" w:cs="Times New Roman"/>
          <w:b/>
          <w:bCs/>
          <w:color w:val="000000"/>
          <w:sz w:val="28"/>
          <w:szCs w:val="28"/>
        </w:rPr>
        <w:t>Khoản 1 Điều 43</w:t>
      </w:r>
      <w:bookmarkEnd w:id="22"/>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Cơ sở đào tạo lập hồ sơ xét cấp bằng tiến sĩ cho nghiên cứu sinh khi đáp ứng đầy đủ các điều kiện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lastRenderedPageBreak/>
        <w:t>a) Đủ 3 tháng kể từ ngày bảo vệ thành công luận án tại Hội đồng đánh giá luận án cấp trường hoặc viện;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b) Đã chỉnh sửa, bổ sung những nội dung trong luận án theo nghị quyết của Hội đồng đánh giá luận án tiến sĩ cấp trường hoặc viện, đã được Chủ tịch Hội đồng kiểm tra và xác nhận, kể cả trường hợp quy định tại khoản 1 Điều 42 của Quy chế này (nếu có);</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c) Nghiên cứu sinh không có tên trong danh sách thẩm định luận án theo thông báo của Bộ Giáo dục và Đào tạo quy định tại khoản 3 Điều 40 của Quy chế này. Nếu là trường hợp cần thẩm định thì phải đạt yêu cầu theo quy định tại khoản 7, khoản 8 Điều 40, khoản 3 Điều 41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d) Nghiên cứu sinh đã nộp Thư viện Quốc gia Việt Nam một bản luận án, một bản tóm tắt luận án, một đĩa CD ghi toàn văn luận án và tóm tắt luận án (bao gồm cả trang bìa), kể cả các luận án bảo vệ theo chế độ mật và các luận án thuộc lĩnh vực quốc phòng, an ninh.”</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25. Bổ sung vào cuối </w:t>
      </w:r>
      <w:bookmarkStart w:id="23" w:name="dc_24"/>
      <w:r w:rsidRPr="00FD5E9B">
        <w:rPr>
          <w:rFonts w:ascii="Times New Roman" w:eastAsia="Times New Roman" w:hAnsi="Times New Roman" w:cs="Times New Roman"/>
          <w:b/>
          <w:bCs/>
          <w:color w:val="000000"/>
          <w:sz w:val="28"/>
          <w:szCs w:val="28"/>
        </w:rPr>
        <w:t>Điều 45</w:t>
      </w:r>
      <w:bookmarkEnd w:id="23"/>
      <w:r w:rsidRPr="00FD5E9B">
        <w:rPr>
          <w:rFonts w:ascii="Times New Roman" w:eastAsia="Times New Roman" w:hAnsi="Times New Roman" w:cs="Times New Roman"/>
          <w:b/>
          <w:bCs/>
          <w:color w:val="000000"/>
          <w:sz w:val="28"/>
          <w:szCs w:val="28"/>
        </w:rPr>
        <w:t> câu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“Trường hợp cần thẩm định hồ sơ, luận án trong quá trình giải quyết khiếu nại, tố cáo thì hồ sơ thẩm định, trình tự thẩm định thực hiện theo quy định tại các khoản 4, 5, 6 và 9 Điều 40 và Điều 41 của Quy chế này.”</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26. Bổ sung khoản 4 </w:t>
      </w:r>
      <w:bookmarkStart w:id="24" w:name="dc_25"/>
      <w:r w:rsidRPr="00FD5E9B">
        <w:rPr>
          <w:rFonts w:ascii="Times New Roman" w:eastAsia="Times New Roman" w:hAnsi="Times New Roman" w:cs="Times New Roman"/>
          <w:b/>
          <w:bCs/>
          <w:color w:val="000000"/>
          <w:sz w:val="28"/>
          <w:szCs w:val="28"/>
        </w:rPr>
        <w:t>Điều 47</w:t>
      </w:r>
      <w:bookmarkEnd w:id="24"/>
      <w:r w:rsidRPr="00FD5E9B">
        <w:rPr>
          <w:rFonts w:ascii="Times New Roman" w:eastAsia="Times New Roman" w:hAnsi="Times New Roman" w:cs="Times New Roman"/>
          <w:b/>
          <w:bCs/>
          <w:color w:val="000000"/>
          <w:sz w:val="28"/>
          <w:szCs w:val="28"/>
        </w:rPr>
        <w:t>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“4. Người hướng dẫn nghiên cứu sinh vi phạm các quy định tại Điều 25, Điều 26 của Quy chế này, tùy theo mức độ vi phạm, sẽ bị xử lý theo các hình thức: không được nhận thêm nghiên cứu sinh mới, không được tiếp tục hướng dẫn nghiên cứu sinh hiện tại hoặc không được nhận nghiên cứu sinh mới trong 3 năm tiếp theo.”</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Điều 2. </w:t>
      </w:r>
      <w:r w:rsidRPr="00FD5E9B">
        <w:rPr>
          <w:rFonts w:ascii="Times New Roman" w:eastAsia="Times New Roman" w:hAnsi="Times New Roman" w:cs="Times New Roman"/>
          <w:color w:val="000000"/>
          <w:sz w:val="28"/>
          <w:szCs w:val="28"/>
        </w:rPr>
        <w:t>Thông tư này có hiệu lực thi hành kể từ ngày 02 tháng 4 năm 2012. Các quy định trước đây trái với Thông tư này đều bị bãi bỏ.</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Điều 3. </w:t>
      </w:r>
      <w:r w:rsidRPr="00FD5E9B">
        <w:rPr>
          <w:rFonts w:ascii="Times New Roman" w:eastAsia="Times New Roman" w:hAnsi="Times New Roman" w:cs="Times New Roman"/>
          <w:color w:val="000000"/>
          <w:sz w:val="28"/>
          <w:szCs w:val="28"/>
        </w:rPr>
        <w:t>Chánh Văn phòng, Vụ trưởng Vụ Giáo dục Đại học, Thủ trưởng các đơn vị có liên quan thuộc Bộ Giáo dục và Đào tạo, Giám đốc các đại học, học viện, Hiệu trưởng các trường đại học, Viện trưởng các viện nghiên cứu khoa học được giao nhiệm vụ đào tạo trình độ tiến sĩ chịu trách nhiệm thi hành Thông tư này.</w:t>
      </w:r>
    </w:p>
    <w:p w:rsid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 </w:t>
      </w:r>
    </w:p>
    <w:p w:rsidR="002E6CF2" w:rsidRPr="00FD5E9B" w:rsidRDefault="002E6CF2" w:rsidP="00FD5E9B">
      <w:pPr>
        <w:shd w:val="clear" w:color="auto" w:fill="FFFFFF"/>
        <w:spacing w:after="120"/>
        <w:ind w:right="-28"/>
        <w:rPr>
          <w:rFonts w:ascii="Times New Roman" w:eastAsia="Times New Roman" w:hAnsi="Times New Roman" w:cs="Times New Roman"/>
          <w:color w:val="000000"/>
          <w:sz w:val="28"/>
          <w:szCs w:val="28"/>
        </w:rPr>
      </w:pPr>
    </w:p>
    <w:tbl>
      <w:tblPr>
        <w:tblW w:w="9606" w:type="dxa"/>
        <w:tblCellSpacing w:w="0" w:type="dxa"/>
        <w:shd w:val="clear" w:color="auto" w:fill="FFFFFF"/>
        <w:tblCellMar>
          <w:left w:w="0" w:type="dxa"/>
          <w:right w:w="0" w:type="dxa"/>
        </w:tblCellMar>
        <w:tblLook w:val="04A0"/>
      </w:tblPr>
      <w:tblGrid>
        <w:gridCol w:w="5353"/>
        <w:gridCol w:w="4253"/>
      </w:tblGrid>
      <w:tr w:rsidR="00FD5E9B" w:rsidRPr="00FD5E9B" w:rsidTr="005B53FB">
        <w:trPr>
          <w:tblCellSpacing w:w="0" w:type="dxa"/>
        </w:trPr>
        <w:tc>
          <w:tcPr>
            <w:tcW w:w="5353" w:type="dxa"/>
            <w:shd w:val="clear" w:color="auto" w:fill="FFFFFF"/>
            <w:tcMar>
              <w:top w:w="0" w:type="dxa"/>
              <w:left w:w="108" w:type="dxa"/>
              <w:bottom w:w="0" w:type="dxa"/>
              <w:right w:w="108" w:type="dxa"/>
            </w:tcMar>
            <w:hideMark/>
          </w:tcPr>
          <w:p w:rsidR="00FD5E9B" w:rsidRPr="00FD5E9B" w:rsidRDefault="00FD5E9B" w:rsidP="00FD5E9B">
            <w:pPr>
              <w:spacing w:after="120"/>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i/>
                <w:iCs/>
                <w:color w:val="000000"/>
                <w:sz w:val="28"/>
                <w:szCs w:val="28"/>
              </w:rPr>
              <w:lastRenderedPageBreak/>
              <w:t> </w:t>
            </w:r>
          </w:p>
          <w:p w:rsidR="00FD5E9B" w:rsidRPr="00FD5E9B" w:rsidRDefault="00FD5E9B" w:rsidP="00FD5E9B">
            <w:pPr>
              <w:spacing w:after="120"/>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i/>
                <w:iCs/>
                <w:color w:val="000000"/>
                <w:sz w:val="28"/>
                <w:szCs w:val="28"/>
              </w:rPr>
              <w:t>Nơi nhận:</w:t>
            </w:r>
            <w:r w:rsidRPr="00FD5E9B">
              <w:rPr>
                <w:rFonts w:ascii="Times New Roman" w:eastAsia="Times New Roman" w:hAnsi="Times New Roman" w:cs="Times New Roman"/>
                <w:b/>
                <w:bCs/>
                <w:i/>
                <w:iCs/>
                <w:color w:val="000000"/>
                <w:sz w:val="28"/>
                <w:szCs w:val="28"/>
              </w:rPr>
              <w:br/>
            </w:r>
            <w:r w:rsidRPr="00FD5E9B">
              <w:rPr>
                <w:rFonts w:ascii="Times New Roman" w:eastAsia="Times New Roman" w:hAnsi="Times New Roman" w:cs="Times New Roman"/>
                <w:color w:val="000000"/>
                <w:sz w:val="28"/>
                <w:szCs w:val="28"/>
              </w:rPr>
              <w:t>- Văn phòng Chính phủ;</w:t>
            </w:r>
            <w:r w:rsidRPr="00FD5E9B">
              <w:rPr>
                <w:rFonts w:ascii="Times New Roman" w:eastAsia="Times New Roman" w:hAnsi="Times New Roman" w:cs="Times New Roman"/>
                <w:color w:val="000000"/>
                <w:sz w:val="28"/>
                <w:szCs w:val="28"/>
              </w:rPr>
              <w:br/>
              <w:t>- Ban Tuyên giáo TW;</w:t>
            </w:r>
            <w:r w:rsidRPr="00FD5E9B">
              <w:rPr>
                <w:rFonts w:ascii="Times New Roman" w:eastAsia="Times New Roman" w:hAnsi="Times New Roman" w:cs="Times New Roman"/>
                <w:color w:val="000000"/>
                <w:sz w:val="28"/>
                <w:szCs w:val="28"/>
              </w:rPr>
              <w:br/>
              <w:t>- Uỷ ban VHGD,TN,TNNĐ của QH;</w:t>
            </w:r>
            <w:r w:rsidRPr="00FD5E9B">
              <w:rPr>
                <w:rFonts w:ascii="Times New Roman" w:eastAsia="Times New Roman" w:hAnsi="Times New Roman" w:cs="Times New Roman"/>
                <w:color w:val="000000"/>
                <w:sz w:val="28"/>
                <w:szCs w:val="28"/>
              </w:rPr>
              <w:br/>
              <w:t>- Các Bộ, cơ quan ngang Bộ, cơ quan thuộc CP;</w:t>
            </w:r>
            <w:r w:rsidRPr="00FD5E9B">
              <w:rPr>
                <w:rFonts w:ascii="Times New Roman" w:eastAsia="Times New Roman" w:hAnsi="Times New Roman" w:cs="Times New Roman"/>
                <w:color w:val="000000"/>
                <w:sz w:val="28"/>
                <w:szCs w:val="28"/>
              </w:rPr>
              <w:br/>
              <w:t>- Cục Kiểm tra VB QPPL (Bộ Tư pháp);</w:t>
            </w:r>
            <w:r w:rsidRPr="00FD5E9B">
              <w:rPr>
                <w:rFonts w:ascii="Times New Roman" w:eastAsia="Times New Roman" w:hAnsi="Times New Roman" w:cs="Times New Roman"/>
                <w:color w:val="000000"/>
                <w:sz w:val="28"/>
                <w:szCs w:val="28"/>
              </w:rPr>
              <w:br/>
              <w:t>- Kiểm toán Nhà nước;</w:t>
            </w:r>
            <w:r w:rsidRPr="00FD5E9B">
              <w:rPr>
                <w:rFonts w:ascii="Times New Roman" w:eastAsia="Times New Roman" w:hAnsi="Times New Roman" w:cs="Times New Roman"/>
                <w:color w:val="000000"/>
                <w:sz w:val="28"/>
                <w:szCs w:val="28"/>
              </w:rPr>
              <w:br/>
              <w:t>- Công báo;</w:t>
            </w:r>
            <w:r w:rsidRPr="00FD5E9B">
              <w:rPr>
                <w:rFonts w:ascii="Times New Roman" w:eastAsia="Times New Roman" w:hAnsi="Times New Roman" w:cs="Times New Roman"/>
                <w:color w:val="000000"/>
                <w:sz w:val="28"/>
                <w:szCs w:val="28"/>
              </w:rPr>
              <w:br/>
              <w:t>- Website Chính phủ;</w:t>
            </w:r>
            <w:r w:rsidRPr="00FD5E9B">
              <w:rPr>
                <w:rFonts w:ascii="Times New Roman" w:eastAsia="Times New Roman" w:hAnsi="Times New Roman" w:cs="Times New Roman"/>
                <w:color w:val="000000"/>
                <w:sz w:val="28"/>
                <w:szCs w:val="28"/>
              </w:rPr>
              <w:br/>
              <w:t>- Như điều 4 (để thực hiện);</w:t>
            </w:r>
            <w:r w:rsidRPr="00FD5E9B">
              <w:rPr>
                <w:rFonts w:ascii="Times New Roman" w:eastAsia="Times New Roman" w:hAnsi="Times New Roman" w:cs="Times New Roman"/>
                <w:color w:val="000000"/>
                <w:sz w:val="28"/>
                <w:szCs w:val="28"/>
              </w:rPr>
              <w:br/>
              <w:t>- Website Bộ GD&amp;ĐT;</w:t>
            </w:r>
            <w:r w:rsidRPr="00FD5E9B">
              <w:rPr>
                <w:rFonts w:ascii="Times New Roman" w:eastAsia="Times New Roman" w:hAnsi="Times New Roman" w:cs="Times New Roman"/>
                <w:color w:val="000000"/>
                <w:sz w:val="28"/>
                <w:szCs w:val="28"/>
              </w:rPr>
              <w:br/>
              <w:t>- Lưu: VT, Vụ GDĐH, Vụ PC.</w:t>
            </w:r>
          </w:p>
        </w:tc>
        <w:tc>
          <w:tcPr>
            <w:tcW w:w="4253" w:type="dxa"/>
            <w:shd w:val="clear" w:color="auto" w:fill="FFFFFF"/>
            <w:tcMar>
              <w:top w:w="0" w:type="dxa"/>
              <w:left w:w="108" w:type="dxa"/>
              <w:bottom w:w="0" w:type="dxa"/>
              <w:right w:w="108" w:type="dxa"/>
            </w:tcMar>
            <w:hideMark/>
          </w:tcPr>
          <w:p w:rsidR="00FD5E9B" w:rsidRPr="00FD5E9B" w:rsidRDefault="00FD5E9B" w:rsidP="00FD5E9B">
            <w:pPr>
              <w:spacing w:after="120"/>
              <w:jc w:val="center"/>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BỘ TRƯỞNG</w:t>
            </w:r>
            <w:r w:rsidRPr="00FD5E9B">
              <w:rPr>
                <w:rFonts w:ascii="Times New Roman" w:eastAsia="Times New Roman" w:hAnsi="Times New Roman" w:cs="Times New Roman"/>
                <w:b/>
                <w:bCs/>
                <w:color w:val="000000"/>
                <w:sz w:val="28"/>
                <w:szCs w:val="28"/>
              </w:rPr>
              <w:br/>
            </w:r>
            <w:r w:rsidRPr="00FD5E9B">
              <w:rPr>
                <w:rFonts w:ascii="Times New Roman" w:eastAsia="Times New Roman" w:hAnsi="Times New Roman" w:cs="Times New Roman"/>
                <w:b/>
                <w:bCs/>
                <w:color w:val="000000"/>
                <w:sz w:val="28"/>
                <w:szCs w:val="28"/>
              </w:rPr>
              <w:br/>
            </w:r>
            <w:r w:rsidRPr="00FD5E9B">
              <w:rPr>
                <w:rFonts w:ascii="Times New Roman" w:eastAsia="Times New Roman" w:hAnsi="Times New Roman" w:cs="Times New Roman"/>
                <w:b/>
                <w:bCs/>
                <w:color w:val="000000"/>
                <w:sz w:val="28"/>
                <w:szCs w:val="28"/>
              </w:rPr>
              <w:br/>
            </w:r>
            <w:r w:rsidRPr="00FD5E9B">
              <w:rPr>
                <w:rFonts w:ascii="Times New Roman" w:eastAsia="Times New Roman" w:hAnsi="Times New Roman" w:cs="Times New Roman"/>
                <w:color w:val="000000"/>
                <w:sz w:val="28"/>
                <w:szCs w:val="28"/>
              </w:rPr>
              <w:br/>
            </w:r>
            <w:r w:rsidRPr="00FD5E9B">
              <w:rPr>
                <w:rFonts w:ascii="Times New Roman" w:eastAsia="Times New Roman" w:hAnsi="Times New Roman" w:cs="Times New Roman"/>
                <w:color w:val="000000"/>
                <w:sz w:val="28"/>
                <w:szCs w:val="28"/>
              </w:rPr>
              <w:br/>
            </w:r>
            <w:r w:rsidRPr="00FD5E9B">
              <w:rPr>
                <w:rFonts w:ascii="Times New Roman" w:eastAsia="Times New Roman" w:hAnsi="Times New Roman" w:cs="Times New Roman"/>
                <w:b/>
                <w:bCs/>
                <w:color w:val="000000"/>
                <w:sz w:val="28"/>
                <w:szCs w:val="28"/>
              </w:rPr>
              <w:t>Phạm Vũ Luận</w:t>
            </w:r>
          </w:p>
        </w:tc>
      </w:tr>
    </w:tbl>
    <w:p w:rsidR="005A5668" w:rsidRPr="002E6CF2" w:rsidRDefault="005C670A" w:rsidP="00FD5E9B">
      <w:pPr>
        <w:rPr>
          <w:rFonts w:ascii="Times New Roman" w:hAnsi="Times New Roman" w:cs="Times New Roman"/>
          <w:sz w:val="28"/>
          <w:szCs w:val="28"/>
        </w:rPr>
      </w:pPr>
    </w:p>
    <w:sectPr w:rsidR="005A5668" w:rsidRPr="002E6CF2" w:rsidSect="00FC1DCE">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70A" w:rsidRDefault="005C670A" w:rsidP="00FD5E9B">
      <w:pPr>
        <w:spacing w:after="0" w:line="240" w:lineRule="auto"/>
      </w:pPr>
      <w:r>
        <w:separator/>
      </w:r>
    </w:p>
  </w:endnote>
  <w:endnote w:type="continuationSeparator" w:id="0">
    <w:p w:rsidR="005C670A" w:rsidRDefault="005C670A" w:rsidP="00FD5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18344"/>
      <w:docPartObj>
        <w:docPartGallery w:val="Page Numbers (Bottom of Page)"/>
        <w:docPartUnique/>
      </w:docPartObj>
    </w:sdtPr>
    <w:sdtContent>
      <w:p w:rsidR="00FD5E9B" w:rsidRDefault="00FD5E9B">
        <w:pPr>
          <w:pStyle w:val="Footer"/>
          <w:jc w:val="center"/>
        </w:pPr>
        <w:fldSimple w:instr=" PAGE   \* MERGEFORMAT ">
          <w:r w:rsidR="005B53FB">
            <w:rPr>
              <w:noProof/>
            </w:rPr>
            <w:t>12</w:t>
          </w:r>
        </w:fldSimple>
      </w:p>
    </w:sdtContent>
  </w:sdt>
  <w:p w:rsidR="00FD5E9B" w:rsidRDefault="00FD5E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70A" w:rsidRDefault="005C670A" w:rsidP="00FD5E9B">
      <w:pPr>
        <w:spacing w:after="0" w:line="240" w:lineRule="auto"/>
      </w:pPr>
      <w:r>
        <w:separator/>
      </w:r>
    </w:p>
  </w:footnote>
  <w:footnote w:type="continuationSeparator" w:id="0">
    <w:p w:rsidR="005C670A" w:rsidRDefault="005C670A" w:rsidP="00FD5E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defaultTabStop w:val="720"/>
  <w:characterSpacingControl w:val="doNotCompress"/>
  <w:footnotePr>
    <w:footnote w:id="-1"/>
    <w:footnote w:id="0"/>
  </w:footnotePr>
  <w:endnotePr>
    <w:endnote w:id="-1"/>
    <w:endnote w:id="0"/>
  </w:endnotePr>
  <w:compat/>
  <w:rsids>
    <w:rsidRoot w:val="00FD5E9B"/>
    <w:rsid w:val="002B6995"/>
    <w:rsid w:val="002E6CF2"/>
    <w:rsid w:val="005B53FB"/>
    <w:rsid w:val="005C670A"/>
    <w:rsid w:val="00945C92"/>
    <w:rsid w:val="00A8688D"/>
    <w:rsid w:val="00FC1DCE"/>
    <w:rsid w:val="00FD5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5E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5E9B"/>
    <w:rPr>
      <w:color w:val="0000FF"/>
      <w:u w:val="single"/>
    </w:rPr>
  </w:style>
  <w:style w:type="paragraph" w:styleId="Header">
    <w:name w:val="header"/>
    <w:basedOn w:val="Normal"/>
    <w:link w:val="HeaderChar"/>
    <w:uiPriority w:val="99"/>
    <w:semiHidden/>
    <w:unhideWhenUsed/>
    <w:rsid w:val="00FD5E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5E9B"/>
  </w:style>
  <w:style w:type="paragraph" w:styleId="Footer">
    <w:name w:val="footer"/>
    <w:basedOn w:val="Normal"/>
    <w:link w:val="FooterChar"/>
    <w:uiPriority w:val="99"/>
    <w:unhideWhenUsed/>
    <w:rsid w:val="00FD5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E9B"/>
  </w:style>
</w:styles>
</file>

<file path=word/webSettings.xml><?xml version="1.0" encoding="utf-8"?>
<w:webSettings xmlns:r="http://schemas.openxmlformats.org/officeDocument/2006/relationships" xmlns:w="http://schemas.openxmlformats.org/wordprocessingml/2006/main">
  <w:divs>
    <w:div w:id="64713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31/2011/N%C4%90-CP&amp;area=2&amp;type=0&amp;match=False&amp;vc=True&amp;lan=1" TargetMode="External"/><Relationship Id="rId13" Type="http://schemas.openxmlformats.org/officeDocument/2006/relationships/hyperlink" Target="https://thuvienphapluat.vn/phap-luat/tim-van-ban.aspx?keyword=10/2009/TT-BGD%C4%90T&amp;area=2&amp;type=0&amp;match=False&amp;vc=True&amp;lan=1" TargetMode="External"/><Relationship Id="rId3" Type="http://schemas.openxmlformats.org/officeDocument/2006/relationships/webSettings" Target="webSettings.xml"/><Relationship Id="rId7" Type="http://schemas.openxmlformats.org/officeDocument/2006/relationships/hyperlink" Target="https://thuvienphapluat.vn/phap-luat/tim-van-ban.aspx?keyword=75/2006/N%C4%90-CP&amp;area=2&amp;type=0&amp;match=False&amp;vc=True&amp;lan=1" TargetMode="External"/><Relationship Id="rId12" Type="http://schemas.openxmlformats.org/officeDocument/2006/relationships/hyperlink" Target="https://thuvienphapluat.vn/phap-luat/tim-van-ban.aspx?keyword=10/2009/TT-BGD%C4%90T&amp;area=2&amp;type=0&amp;match=False&amp;vc=True&amp;lan=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phap-luat/tim-van-ban.aspx?keyword=10/2009/TT-BGD%C4%90T&amp;area=2&amp;type=0&amp;match=False&amp;vc=True&amp;lan=1" TargetMode="External"/><Relationship Id="rId11" Type="http://schemas.openxmlformats.org/officeDocument/2006/relationships/hyperlink" Target="https://thuvienphapluat.vn/phap-luat/tim-van-ban.aspx?keyword=32/2008/N%C4%90-CP&amp;area=2&amp;type=0&amp;match=False&amp;vc=True&amp;lan=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thuvienphapluat.vn/phap-luat/tim-van-ban.aspx?keyword=178/2007/N%C4%90-CP&amp;area=2&amp;type=0&amp;match=False&amp;vc=True&amp;lan=1" TargetMode="External"/><Relationship Id="rId4" Type="http://schemas.openxmlformats.org/officeDocument/2006/relationships/footnotes" Target="footnotes.xml"/><Relationship Id="rId9" Type="http://schemas.openxmlformats.org/officeDocument/2006/relationships/hyperlink" Target="https://thuvienphapluat.vn/phap-luat/tim-van-ban.aspx?keyword=75/2006/N%C4%90-CP&amp;area=2&amp;type=0&amp;match=False&amp;vc=True&amp;lan=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3508</Words>
  <Characters>19997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2017-06-29T02:55:00Z</cp:lastPrinted>
  <dcterms:created xsi:type="dcterms:W3CDTF">2017-06-29T02:52:00Z</dcterms:created>
  <dcterms:modified xsi:type="dcterms:W3CDTF">2017-06-29T02:59:00Z</dcterms:modified>
</cp:coreProperties>
</file>